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C/28387/2018 vom 30. September 2020</w:t>
      </w:r>
    </w:p>
    <w:p>
      <w:r>
        <w:t>GE Cour de justice, 2020-09-30, FR</w:t>
      </w:r>
    </w:p>
    <w:p>
      <w:r>
        <w:rPr>
          <w:b/>
        </w:rPr>
        <w:t xml:space="preserve">Quelle: </w:t>
      </w:r>
      <w:r>
        <w:t>https://mcp.opencaselaw.ch/entscheid/ge_gerichte_C_28387_2018</w:t>
      </w:r>
    </w:p>
    <w:p>
      <w:r>
        <w:t>FR: GE_GERICHTE C/28387/2018 du 30 septembre 2020</w:t>
      </w:r>
    </w:p>
    <w:p>
      <w:r>
        <w:t>IT: GE_GERICHTE C/28387/2018 del 30 settembre 2020</w:t>
      </w:r>
    </w:p>
    <w:p>
      <w:pPr>
        <w:pStyle w:val="Heading2"/>
      </w:pPr>
      <w:r>
        <w:t>Regeste</w:t>
      </w:r>
    </w:p>
    <w:p>
      <w:r>
        <w:t>Cst.29.al2; CPC.227.al1.leta; LP.82.al1; CO.19.al1; CO.404.al1; CO.163.al1; CO.163.al3</w:t>
      </w:r>
    </w:p>
    <w:p>
      <w:pPr>
        <w:pStyle w:val="Heading2"/>
      </w:pPr>
      <w:r>
        <w:t>Erwägungen</w:t>
      </w:r>
    </w:p>
    <w:p>
      <w:r>
        <w:rPr>
          <w:b/>
        </w:rPr>
        <w:t>E. 1</w:t>
      </w:r>
    </w:p>
    <w:p>
      <w:r>
        <w:t>1.1 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w:t>
      </w:r>
    </w:p>
    <w:p>
      <w:r>
        <w:rPr>
          <w:b/>
        </w:rPr>
        <w:t>E. 1.4</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1.5</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2</w:t>
      </w:r>
    </w:p>
    <w:p>
      <w:r>
        <w:t>La recourante reproche au Tribunal une constatation manifestement inexacte des faits. L'échange de correspondance intervenu entre les parties du 6 septembre 2019 a été intégré à la partie EN FAIT du présent arrêt.</w:t>
      </w:r>
    </w:p>
    <w:p>
      <w:r>
        <w:rPr>
          <w:b/>
        </w:rPr>
        <w:t>E. 3</w:t>
      </w:r>
    </w:p>
    <w:p>
      <w:r>
        <w:t>La recourante se plaint d'une violation de son droit d'être entendue, le Tribunal ayant commis un déni de justice formel, en omettant de déclarer recevables ses conclusions subsidiaires, modifiées en cours de procédure, à la suite de la suspension de la procédure.</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n. p. du Tribunal fédéral 9C_3/2011 ,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 9C_51/2011 précité ibidem). En revanche,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135 I 6 consid. 2.1; 133 III 235 consid. 5.2; 125 III 440 consid. 2A; 120 Ia 220 consid. 2a; 118 Ib 381 consid. 2b/bb; arrêt 5A_775/2018 du 15 avril 2019 consid. 3.1). Tel est également le cas de l'omission de statuer sur une conclusion de la demande (arrêt du Tribunal fédéral 4A_487/2007 du 19 juin 2009 consid. 8.1).</w:t>
      </w:r>
    </w:p>
    <w:p>
      <w:r>
        <w:rPr>
          <w:b/>
        </w:rPr>
        <w:t>E. 3.2</w:t>
      </w:r>
    </w:p>
    <w:p>
      <w:r>
        <w:t>Selon l'art. 227 al. 1 let. a CPC, la demande peut être modifiée si la prétention nouvelle ou modifiée relève de la même procédure et que la prétention nouvelle ou modifiée présente un lien de connexité avec la dernière prétention.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145 III 213 consid. 6.1.2; 138 III 483 consid. 3.2.4; arrêts du Tribunal fédéral 5A_26/2019 du 6 juin 2019 consid. 3.2; 5A_82/2015 du 16 juin 2015 consid. 4.1).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w:t>
      </w:r>
    </w:p>
    <w:p>
      <w:r>
        <w:rPr>
          <w:b/>
        </w:rPr>
        <w:t>E. 3.3</w:t>
      </w:r>
    </w:p>
    <w:p>
      <w:r>
        <w:t>En l'espèce, c'est à raison que la recourante se plaint d'un déni de justice formel, le Tribunal n'ayant pas statué sur la recevabilité, respectivement sur le bien-fondé de ses conclusions modifiées le 18 novembre 2019. Dès lors que la Cour dispose d'un plein pouvoir d'examen en droit, cette omission peut être réparée (art. 327 al. 3 let. b CPC), sans qu'il soit nécessaire d'annuler le jugement attaqué pour ce motif ou que la cause soit renvoyée au Tribunal pour qu'il complète son dispositif. Les nouvelles conclusions subsidiaires de la recourante sont recevables. Elles se fondent en effet sur des faits nouveaux, intervenus après la suspension de la procédure, relèvent de la même procédure et présentent un lien de connexité puisqu'elles tendent à la réduction du montant à concurrence duquel le prononcé de la mainlevée provisoire de l'opposition est requis.</w:t>
      </w:r>
    </w:p>
    <w:p>
      <w:r>
        <w:rPr>
          <w:b/>
        </w:rPr>
        <w:t>E. 4</w:t>
      </w:r>
    </w:p>
    <w:p>
      <w:r>
        <w:t>La recourante reproche au Tribunal de ne pas avoir prononcé la mainlevée de l'opposition.</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Berne 2017, n. 47 et 48 ad art. 82 LP). Le contrat écrit stipulant une peine conventionnelle (art. 160 CO) constitue, avec la preuve de l'inexécution de la prestation promise, une reconnaissance de dette (arrêts du Tribunal fédéral 5A_867/2018 du 4 mars 2019 consid. 4.1.1; 5A_734/2009 du 2 février 2010 consid. 3.1). L'inexécution de la prestation promise constitue une condition suspensive dont la preuve peut être apportée en principe par titre (Abbet/Veuillet, op. cit., n. 149 ad art. 82 LP).</w:t>
      </w:r>
    </w:p>
    <w:p>
      <w:r>
        <w:rPr>
          <w:b/>
        </w:rPr>
        <w:t>E. 4.2</w:t>
      </w:r>
    </w:p>
    <w:p>
      <w:r>
        <w:t>En vertu du principe de la liberté contractuelle, les parties peuvent définir librement, mais dans les limites de la loi, le contenu d'un contrat (art. 19 al. 1 CO). Un contrat dont le contenu ne peut être rattaché à un contrat nommé mais comprenant des éléments rattachables à différents contrats nommés est dit mixte (arrêt du Tribunal fédéral 4A_129/2017 du 11 juin 2018 consid. 5.1). A la différence de ce type de contrat, le contrat innommé sui generis se définit comme une entité autonome, propre, qui n'emprunte sa spécificité à aucun autre (ATF 120 V 299 consid. 2a et la référence citée). Le contrat d'enseignement (Unterrichtsvertrag), que le Tribunal fédéral qualifie de contrat mixte auquel les règles du mandat sont en principe applicables, et en particulier l'art. 404 CO qui a trait au pouvoir pour chaque partie de résilier unilatéralement le mandat (arrêts du Tribunal fédéral 4A_601/2015 consid. 1.2.1; 4A_141/2011 du 6 juillet 2011 consid. 2.2; 4A_237/2008 du 29 juillet 2008 consid. 3.2).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(ATF 104 II 108 consid. 4 p.115 ss; arrêt du Tribunal fédéral 4A_284/2013 du 13 février 2014 consid. 3.5.1). Malgré les critiques de la doctrine, le Tribunal fédéral a maintenu cette jurisprudence (ATF 115 II 464 consid. 2a; arrêts du Tribunal fédéral 4A_680/2016 du 12 juillet 2017 consid. 3.1; 4A_284/2013 du 13 février 2014 précité, ibidem; 4A_141/2011 du 6 juillet 2011 précité consid. 2.2 et 2.3 et les références). Aux termes de l'art. 404 al. 2 CO, la partie qui révoque ou répudie le contrat en temps inopportun doit indemniser l'autre du dommage qu'elle lui cause.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p. 306; arrêts du Tribunal fédéral 4A_601/2015 du 19 avril 2016 précité consid. 1.2.1; 4A_36/2013 du 4 juin 2013 consid. 2.5). Si la résiliation est fondée sur un juste motif, elle n'oblige pas à réparation (arrêt du Tribunal fédéral 4A_237/2008 du 29 juillet 2008 consid. 3.2 et les arrêts cités). Il a déjà été jugé qu'un contrat d'enseignement est résilié en temps inopportun au sens de l'art. 404 al. 2 CO si la résiliation a lieu au milieu d'un semestre (arrêt du Tribunal fédéral 4A_141/2011 du 6 juillet 2011 précité consid. 2.4).</w:t>
      </w:r>
    </w:p>
    <w:p>
      <w:r>
        <w:rPr>
          <w:b/>
        </w:rPr>
        <w:t>E. 4.3</w:t>
      </w:r>
    </w:p>
    <w:p>
      <w:r>
        <w:t>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Aux termes de l'art. 163 al. 3 CO, le juge doit réduire les peines qu'il estime excessives. Si la jurisprudence a admis qu'il s'agit d'une norme d'ordre public - destinée à protéger la partie faible contre les abus de l'autre partie -, que celle-ci est impérative - ce qui signifie que les parties ne peuvent y renoncer (ATF 133 III 201 consid. 5.2; arrêt du Tribunal fédéral 4A_398/2007 consid. 7.1, non publié in ATF 135 III 433 ) -, que la réduction d'une peine conventionnelle est un cas d'application du principe général de l'interdiction de l'abus de droit (ATF 138 III 746 consid. 6.1.1), et que le débiteur n'a pas à prendre de conclusions spécifiques en réduction lorsqu'il conclut au rejet total de la peine - car celui qui demande le rejet total conclut implicitement à la réduction (conclusions implicites) (ATF 109 II 120 consid. 2) -, elle a toujours imposé au débiteur, et non au créancier, d'alléguer et de prouver les conditions de fait d'une réduction et, partant, la disproportion par rapport au dommage causé (cf., par ordre chronologique, ATF 21 consid. 5 p. 1234; 40 II 471 consid. 5; 103 II 108 ; 109 II 120 consid. 2b; 114 II 264 consid. 1b in fine; 133 III 43 consid. 4.1, 133 III 201 consid. 5.2; arrêt du Tribunal fédéral 4A_5/2015 du 20 avril 2015 consid. 3.1). Cela signifie que le débiteur supporte le fardeau de l'allégation objectif (objektive Behauptungslast) et le fardeau de la preuve (objektive Beweislast; art. 8 CC) des conditions de la réduction, en ce sens qu'il supporte les conséquences de l'absence d'allégation de ces conditions, respectivement celles de l'absence de preuve de celles-ci (ATF 143 III 1 consid. 4.1). Selon la jurisprudence du Tribunal fédéral, il est admissible de prévoir une clause pénale pour le cas où un mandat est résilié en temps inopportun tel que l'entend l'art. 404 al. 2 CO (cf. ATF 110 II 380 consid. 3a; 109 II 462 consid. 4; arrêts du Tribunal fédéral 4A_601/2015 du 19 avril 2016 précité consid. 1.2.2; 4A_141/2011 du 6 juillet 2011 précité consid. 2.4). Le dommage à indemniser est celui que la partie subit du fait du moment où la résiliation est intervenue et en raison des dispositions qu'elle avait prises pour l'exécution du mandat (ATF 110 II 380 consid. 3b; 109 II 462 consid. 4c; arrêt du Tribunal fédéral 4A_36/2013 du 4 juin 2013 précité consid. 2.5). Il s'agit de l'intérêt que cette partie avait à ne pas conclure le contrat (intérêt négatif). Elle n'a certes pas droit à être indemnisée de l'intérêt qu'elle avait à la poursuite du contrat (intérêt positif; arrêt du Tribunal fédéral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 (arrêt du Tribunal fédéral 4A_129/2017 du 11 juin 2018 consid. 7.1). Le Tribunal fédéral a ainsi adouci les effets de sa jurisprudence sur le caractère impératif de l'art. 404 CO en admettant la validité de peines conventionnelles compensant en partie le gain manqué, notamment en matière de contrats d'enseignement. En application de l'art. 404 al. 2 CO, le Tribunal fédéral (arrêt du Tribunal fédéral précité 4A_141/2011 consid. 2.4) a ainsi considéré comme valable une peine conventionnelle qui prévoyait pour un élève la perte de l'écolage déjà payé, en l'occurrence pour un semestre, en cas de résiliation du contrat par l'élève après le début du cours, au milieu d'un semestre. Il a confirmé cette approche dans un cas de résiliation d'un contrat d'enseignement par les parents d'un élève (arrêt du Tribunal fédéral 4A_601/2015 précité consid. 1.2.1 et s.), résiliation exercée après le terme butoir fixé par les conditions générales de l'école pour l'inscription d'un élève à une nouvelle année scolaire.</w:t>
      </w:r>
    </w:p>
    <w:p>
      <w:r>
        <w:rPr>
          <w:b/>
        </w:rPr>
        <w:t>E. 4.4</w:t>
      </w:r>
    </w:p>
    <w:p>
      <w:r>
        <w:t>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5A_867/2018 du 4 mars 2019 consid. 4.1.3; 5A_735/2012 du 17 avril 2013 consid. 2; 5P_449/2002 du 20 février 2003 consid. 3; Staehelin, in Basler Kommentar, SchKG I, 2010, n. 21 ad art. 82 LP).</w:t>
      </w:r>
    </w:p>
    <w:p>
      <w:r>
        <w:rPr>
          <w:b/>
        </w:rPr>
        <w:t>E. 4.5</w:t>
      </w:r>
    </w:p>
    <w:p>
      <w:r>
        <w:t>Dans le présent cas, il est admis que les parties ont conclu un contrat d'enseignement, que les parties ont intégré dans les conditions générales faisant partie intégrante de leur convention une clause pénale, laquelle prévoyait qu'en cas de résiliation du contrat d'enseignement par l'intimé, après le 15 août 2018, les frais d'écolage et autres frais étaient intégralement dus. Il est également constant que le contrat a été résilié le 24 octobre 2018, soit après l'échéance susmentionnée. La licéité d'une peine conventionnelle dans ce type de contrat a par ailleurs été admise par le Tribunal fédéral. Dès lors, le contrat vaut titre de mainlevée provisoire s'agissant de la peine conventionnelle convenue. L'intimé se prévaut du caractère excessif du montant de la peine conventionnelle et de ce que la recourante n'aurait pas respecté ses obligations contractuelles, titres à l'appui. Il ne résulte cependant pas des pièces produites que la recourante aurait failli dans son engagement de dispenser des cours aux enfants de l'intimé, ni de ce qu'elle serait concernée par les problèmes que le fils de l'intimé aurait rencontrés avec un autre élève de l'école. Par ailleurs, l'argument de l'intimé concernant le temps de transport entre le domicile de ses enfants et l'école ne convainc pas, dès lors qu'il est notoire que le collège se trouve à D______, soit sur l'autre rive du lac que le domicile en question. Il s'ensuit que l'intimé n'a pas rendu vraisemblable de moyen libératoire. Le recours est ainsi fondé.</w:t>
      </w:r>
    </w:p>
    <w:p>
      <w:r>
        <w:rPr>
          <w:b/>
        </w:rPr>
        <w:t>E. 4.6</w:t>
      </w:r>
    </w:p>
    <w:p>
      <w:r>
        <w:t>Dans la mesure où la cause est en état d'être jugée (art. 327 al. 3 let. b CPC), le jugement entrepris sera annulé, et il sera statué en ce sens que la mainlevée provisoire de l'opposition formée au commandement de payer sera prononcée.</w:t>
      </w:r>
    </w:p>
    <w:p>
      <w:r>
        <w:rPr>
          <w:b/>
        </w:rPr>
        <w:t>E. 5</w:t>
      </w:r>
    </w:p>
    <w:p>
      <w:r>
        <w:t>Les frais judiciaires des deux instances recours seront arrêtés à 1'875 fr. (art. 48 et 61 OELP), compensés avec les avances de frais fournies, acquises à l'Etat de Genève (art. 111 al. 1 CPC). Ils seront mis à la charge de l'intimé, qui succombe (art. 106 al. 1 CPC). Il sera en conséquence condamné à rembourser ce montant à la recourante et à lui verser 4'500 fr., TVA et débours inclus, à titre de dépens des deux instances (art. 85, 89 et 90 RTFMC; art. 25 et 26 LaCC). * * * * * PAR CES MOTIFS, La Chambre civile : A la forme : Déclare recevable le recours interjeté le 22 mai 2020 par A______ SARL contre le jugement JTPI/5079/2020 rendu le 8 mai 2020 par le Tribunal de première instance dans la cause C/28387/2018-25 SML. Au fond : Annule ce jugement. Cela fait et statuant à nouveau : Prononce la mainlevée provisoire de l'opposition formée par B______ au commandement de payer, poursuite n° 1______. Déboute les parties de toutes autres conclusions. Sur les frais des deux instances : Arrête les frais judiciaires à 1'875 fr., compensés avec les avances de frais versées, acquises à l'Etat de Genève, et les met à la charge de B______. Condamne B______ à verser 1'875 fr. à titre de remboursement de frais à A______ SARL. Condamne B______ à verser à 4'500 fr. à A______ SARL à titre de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