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C/2829/2024 vom 10. Dezember 2024</w:t>
      </w:r>
    </w:p>
    <w:p>
      <w:r>
        <w:t>GE Cour de justice, 2024-12-10, FR</w:t>
      </w:r>
    </w:p>
    <w:p>
      <w:r>
        <w:rPr>
          <w:b/>
        </w:rPr>
        <w:t xml:space="preserve">Quelle: </w:t>
      </w:r>
      <w:r>
        <w:t>https://mcp.opencaselaw.ch/entscheid/ge_gerichte_C_2829_2024</w:t>
      </w:r>
    </w:p>
    <w:p>
      <w:r>
        <w:t>FR: GE_GERICHTE C/2829/2024 du 10 décembre 2024</w:t>
      </w:r>
    </w:p>
    <w:p>
      <w:r>
        <w:t>IT: GE_GERICHTE C/2829/2024 del 10 dicembre 2024</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écrit et motivé, doit être introduit auprès de l'instance de recours dans les dix jours à compter de la notification de la décision motivée, compte tenu de l'application de la procédure sommaire (art. 311 al. 1 CPC; 314 al. 1 CPC cum art. 251 let. a CPC). Si un appel est interjeté en lieu et place d'un recours, ou vice-versa, la conversion est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(arrêts du Tribunal fédéral 4A_145/2021 du 27 octobre consid. 5.1; 5A_46/2020 du 17 novembre 2020 consid. 4.1).</w:t>
      </w:r>
    </w:p>
    <w:p>
      <w:r>
        <w:rPr>
          <w:b/>
        </w:rPr>
        <w:t>E. 1.2</w:t>
      </w:r>
    </w:p>
    <w:p>
      <w:r>
        <w:t>En l'espèce, les conclusions de dernière instance portent sur des montants supérieurs à 10'000 fr., de sorte que la voie de l'appel est ouverte. Bien que l’appelant ait intitulé à tort son acte « recours », ce dernier répond néanmoins aux conditions de forme prévues pour l'appel. On ne voit a priori pas en quoi la conversion de recours en appel nuirait aux intérêts des intimés. Partant, l’appel est recevable.</w:t>
      </w:r>
    </w:p>
    <w:p>
      <w:r>
        <w:rPr>
          <w:b/>
        </w:rPr>
        <w:t>E. 1.3</w:t>
      </w:r>
    </w:p>
    <w:p>
      <w:r>
        <w:t>L’appel peut être formé pour violation du droit et, ou, constatation inexacte des faits (art. 310 let. a et b CPC). L'instance d'appel dispose d'un plein pouvoir d'examen de la cause en fait et en droit, mais uniquement dans la limite des griefs qui sont formulés (ATF 144 III 394 consid. 4.1.4; 142 III 413 consid. 2.2.4).</w:t>
      </w:r>
    </w:p>
    <w:p>
      <w:r>
        <w:rPr>
          <w:b/>
        </w:rPr>
        <w:t>E. 2</w:t>
      </w:r>
    </w:p>
    <w:p>
      <w:r>
        <w:t>L’appelant reproche au Tribunal d’avoir rejeté sa requête de mainlevée définitive des oppositions aux commandements de payer, poursuites n° 1______ et n° 2______, notifiés respectivement à B______ et C______, au motif que celle-ci était prématurée, alors qu’il a admis sa demande en paiement par la procédure en protection de cas clair pour la même créance.</w:t>
      </w:r>
    </w:p>
    <w:p>
      <w:r>
        <w:rPr>
          <w:b/>
        </w:rPr>
        <w:t>E. 2.1</w:t>
      </w:r>
    </w:p>
    <w:p>
      <w:r>
        <w:t>Au sens de l’art. 79 LP, le créancier à la poursuite duquel il est fait opposition peut agir par la voie de la procédure civile afin de faire reconnaitre son droit. Cette disposition autorise le juge civil ordinaire ou l’autorité à lever l'opposition, de façon à ce qu'il ne soit pas nécessaire – sous réserve des cas visés par l’art. 79 al. 2 LP - de recourir encore à la procédure cantonale (sommaire) de mainlevée (ATF 134 III 115 consid. 3.2, arrêt du Tribunal fédéral 5A_315/2007 du 13 décembre 2007 consid. 3). L'autorité saisie selon l'art. 79 LP aura donc la compétence de prononcer la mainlevée de l'opposition en même temps qu'elle statue sur le fond (ATF 134 III 115 consid. 4.1.2; 107 III 60 consid. 3). En procédure civile, l’opposition peut ainsi être levée par le juge saisi de la procédure au fond tant en procédure ordinaire (art. 219 ss CPC) qu’en procédure simplifiée (art. 243 ss CPC) et procédure sommaire (art. 248 ss CPC), par exemple en procédure de protection pour les cas clairs de l’art. 257 CPC (Staehelin, BSK, SchKG, n. 2b ad art. 79 LP).</w:t>
      </w:r>
    </w:p>
    <w:p>
      <w:r>
        <w:rPr>
          <w:b/>
        </w:rPr>
        <w:t>E. 2.2</w:t>
      </w:r>
    </w:p>
    <w:p>
      <w:r>
        <w:t>En l’espèce, l’appelant a fait notifier deux commandements de payer, poursuite n° 2______ et poursuite n° 1______, aux intimés, que ceux-ci ont frappé d'opposition. Agissant par la voie civile, l’appelant a requis du Tribunal la condamnation des intimés au paiement et le prononcé de la mainlevée définitive des oppositions formées aux commandements de payer précités. Le Tribunal, qui a admis la demande au fond par la voie de la procédure sommaire, était en mesure de se prononcer sur la requête de mainlevée définitive. Au regard des principes juridiques exposés ci-avant, la motivation du Tribunal selon laquelle cette requête en mainlevée serait prématurée, est erroné. Au vu de ce qui précède, le grief de l’appelant est fondé. Le chiffre 2 du dispositif sera annulé et il sera statué à nouveau (art. 318 al. 1 let. b CPC) en ce sens que la mainlevée définitive des oppositions formées aux commandements de payer, poursuites n° 2______ et n° 1______, sera prononcée.</w:t>
      </w:r>
    </w:p>
    <w:p>
      <w:r>
        <w:rPr>
          <w:b/>
        </w:rPr>
        <w:t>E. 3</w:t>
      </w:r>
    </w:p>
    <w:p>
      <w:r>
        <w:t>A teneur de l'art. 22 al. 1 LaCC, il n'est pas prélevé de frais ni alloué de dépens dans les causes soumises à la juridiction des baux et loyers (ATF 139 III 182 consid. 2.6; arrêt du Tribunal fédéral 4A_219/2020 du 12 mars 2021 consid. 7). * * * * * PAR CES MOTIFS, La Chambre des baux et loyers : A la forme : Déclare recevable l’appel interjeté le 10 juin 2024 par A______ contre le jugement JTBL/585/2024 rendu le 6 mai 2024 par le Tribunal des baux et loyers dans la cause C/2829/2024. Au fond : Annule le chiffre 2 du dispositif du jugement entrepris et, statuant à nouveau sur ce point : Prononce la mainlevée définitive de l’opposition formée au commandement de payer poursuite n° 2______. Prononce la mainlevée définitive de l’opposition formée au commandement de payer poursuite n° 1______. Confirme le jugement entrepris pour le surplus. Dit que la procédure est gratuite. Déboute les parties de toutes autres conclusions d'appel. Siégeant : Madame Nathalie LANDRY-BARTHE, présidente; Madame Sylvie DROIN, Monsieur Laurent RIEBEN, juges; Madame Zoé SEILER, Monsieur Nicolas DAUDIN,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