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C/27556/2012 vom 10. Oktober 2016</w:t>
      </w:r>
    </w:p>
    <w:p>
      <w:r>
        <w:t>GE Cour de justice, 2016-10-10, FR</w:t>
      </w:r>
    </w:p>
    <w:p>
      <w:r>
        <w:rPr>
          <w:b/>
        </w:rPr>
        <w:t xml:space="preserve">Quelle: </w:t>
      </w:r>
      <w:r>
        <w:t>https://mcp.opencaselaw.ch/entscheid/ge_gerichte_C_27556_2012</w:t>
      </w:r>
    </w:p>
    <w:p>
      <w:r>
        <w:t>FR: GE_GERICHTE C/27556/2012 du 10 octobre 2016</w:t>
      </w:r>
    </w:p>
    <w:p>
      <w:r>
        <w:t>IT: GE_GERICHTE C/27556/2012 del 10 ottobre 2016</w:t>
      </w:r>
    </w:p>
    <w:p>
      <w:pPr>
        <w:pStyle w:val="Heading2"/>
      </w:pPr>
      <w:r>
        <w:t>Regeste</w:t>
      </w:r>
    </w:p>
    <w:p>
      <w:r>
        <w:t>BAIL COMMUN; CAUTIONNEMENT; PRINCIPE DE LA CONFIANCE(INTERPRÉTATION DU CONTRAT); LÉGITIMATION ACTIVE ET PASSIVE; DÉFAUT DE LA CHOSE; RÉNOVATION D'IMMEUBLE; PLUS-VALUE; INDEMNITÉ(EN GÉNÉRAL); ABUS DE DROIT; DOMMAGES-INTÉRÊTS; DILIGENCE | CO.253; CO.256; CO.260; CC.2.2</w:t>
      </w:r>
    </w:p>
    <w:p>
      <w:pPr>
        <w:pStyle w:val="Heading2"/>
      </w:pPr>
      <w:r>
        <w:t>Erwägungen</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produites en appel avaient déjà été produites devant le Tribunal. Elles sont donc recevables.</w:t>
      </w:r>
    </w:p>
    <w:p>
      <w:r>
        <w:rPr>
          <w:b/>
        </w:rPr>
        <w:t>E. 3</w:t>
      </w:r>
    </w:p>
    <w:p>
      <w:r>
        <w:t>.2 En l'espèce, la procédure a établi que le nom de l'appelant figure sous la rubrique « locataire » du contrat de bail du 29 septembre 2009, aux côtés de celui de E______ SARL, avec pour mention « agissant solidairement et conjointement » et les signatures manuscrites des deux locataires, soit en l'occurrence celle de l'appelant d'une part en sa qualité de personne physique et d'autre part en sa qualité de représentant de la société E______ SARL. En outre, le contrat de bail ne contient aucune mention spécifique ou distinction faisant apparaître l'appelant en qualité de garant et il ne résulte pas de la procédure que l'appelant aurait, lors de discussions relatives à la conclusion du contrat, indiqué par écrit qu'il ne serait que garant, et non locataire des locaux en cause. La procédure n'a par ailleurs pas permis d'établir que la position de l'appelant se limitait à celle d'un garant du paiement des loyers et des charges, sans jouissance des locaux ni volonté d'exploiter lui-même les locaux. Ainsi et compte tenu de ce qui précède, l'appelant a échoué à démontrer qu'il intervenait dans le bail au seul titre de garant du paiement du loyer au moment de la conclusion du contrat de bail, étant précisé que le fardeau de la preuve lui incombait. Il a signé le contrat de bail à loyer en qualité de colocataire de sorte qu'il dispose de la légitimation passive.</w:t>
      </w:r>
    </w:p>
    <w:p>
      <w:r>
        <w:rPr>
          <w:b/>
        </w:rPr>
        <w:t>E. 3.1</w:t>
      </w:r>
    </w:p>
    <w:p>
      <w:r>
        <w:t>Un contrat de bail à loyer peut être conclu entre plusieurs personnes. S'il engage plusieurs locataires, le contrat est qualifié de location commune ou colocation. Le contrat commun implique, au sens de l'art. 253 CO, la cession de l'usage d'une chose à plusieurs locataires. Il n'y a pas bail commun, mais reprise cumulative de dette, lorsqu'une personne ne s'engage, à côté du locataire, qu'en tant que débitrice solidaire du loyer, en excluant d'occuper elle-même les locaux (arrêt du Tribunal fédéral 4C.103/2006 du 3 juillet 2006 consid. 4.1, in SJ 2007 I p. 1). Dans certains cas, un contrat de cautionnement peut également être retenu lorsque le débiteur qui s'engage n'a pas un intérêt propre et marqué à l'exécution de l'obligation. C'est en particulier le cas s'il se contente d'intercéder en faveur du débiteur initial, par exemple lorsqu'il garantit la bonne exécution des obligations d'un proche dont la solvabilité pourrait être douteuse (SJ 2002 p. 574; arrêt du Tribunal fédéral 4C.136/2003 du 23 septembre 2003 consid. 2.6 et 2.8; Meier, Commentaire romand, ad art. 492, n. 32; Engel, Traité des obligations en droit suisse, 1997, p. 904; Das schweizerische Mietrecht, SVIT Kommentar, 2008, p. 6, n. 13). 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(Engel, op. cit., p. 902-904). Chaque débiteur peut alors faire valoir contre le créancier les exceptions qui résultent de la cause ou de l'objet, c'est-à-dire le contenu de l'obligation solidaire (art. 145 CO), le terme « exception » couvrant les moyens de défense au sens large, exceptions, droits formateurs et objections. Il s'agit notamment des exceptions tirées de la nullité pour vice de forme ou de l'art. 20 CO (Romy, Commentaire romand, ad art. 145, n. 1 et 4).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(Das schweizerische Mietrecht, SVIT Kommentar, 2008, p. 6). Pour déterminer si l'on se trouve en présence d'un bail commun ou d'un cautionnement,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et ATF 131 V 27 consid. 2.2). 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 consid. 4.1 p. 611 et les arrêts cités).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4A_437_2009 du 11 novembre 2009 consid. 3). Il appartient au locataire, qui entend se prévaloir d'un contrat de cautionnement, de prouver qu'il n'était pas lié par un bail commun et que son engagement contractuel était limité au paiement du loyer et des charges (art. 8 CC) (arrêt du Tribunal fédéral 4C.103/2006 du 3 juillet 2006 consid. 4.1, in SJ 2007 I p. 1).</w:t>
      </w:r>
    </w:p>
    <w:p>
      <w:r>
        <w:rPr>
          <w:b/>
        </w:rPr>
        <w:t>E. 4</w:t>
      </w:r>
    </w:p>
    <w:p>
      <w:r>
        <w:t>L'appelant invoque une créance compensante équivalente à six mois de loyer, se prévalant de l'existence d'un défaut initial caché (défaut d'isolation phonique) et d'un défaut subséquent (suppression dans le cahier de répartition des locaux de la mention « restaurant »). Cette créance éteindrait ses dettes de loyer.</w:t>
      </w:r>
    </w:p>
    <w:p>
      <w:r>
        <w:rPr>
          <w:b/>
        </w:rPr>
        <w:t>E. 4.1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et les références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Selon l'art. 8 CC, il appartient au locataire qui se prévaut d'un défaut de la chose louée d'en prouver l'existence (Lachat, op. cit., ch. 11.1.4 p. 248).</w:t>
      </w:r>
    </w:p>
    <w:p>
      <w:r>
        <w:rPr>
          <w:b/>
        </w:rPr>
        <w:t>E. 4.2</w:t>
      </w:r>
    </w:p>
    <w:p>
      <w:r>
        <w:t>En l'occurrence, il ressort du procès-verbal de l'assemblée générale extraordinaire des copropriétaires de l'immeuble du 15 novembre 2011 que H______, propriétaire d'un appartement au 4 ème étage de l'immeuble, aurait fait remarquer que la construction de l'immeuble ne permettait pas une isolation adéquate pour éviter que la musique ne soit perçue en dehors de ces locaux et aurait souligné que le cahier de répartition desdits locaux mentionnait que la destination des locaux était un restaurant alors que ce n'était pas le cas au jour de l'assemblée. Cela étant, ce fait n'est pas suffisant à démontrer l'existence du défaut d'isolation alléguée. A cet égard, la Cour relève que l'appelant n'a pas requis l'audition de H______. Par ailleurs, il n'a fourni aucune expertise, rapport de professionnels ou mesures de décibels démontrant le défaut qu'il allègue. En outre, comme relevé par les premiers juges, le témoin P______ a exposé que le locataire n'avait pas utilisé les locaux de façon conforme à ce qu'il avait lui-même prévu dans son projet d'utilisation, projet sur lequel s'était basé l'acousticien pour établir son rapport et sur la foi duquel l'autorisation de construire avait été délivrée. L'appelant a ainsi échoué à démontrer qu'il existait un défaut d'isolation. En tout état de cause, même à supposer qu'il existait un tel défaut, il ne pourrait être considéré comme un défaut caché dès lors que le locataire aurait dû le remarquer, en opérant des vérifications spécifiques, s'agissant d'un élément essentiel à l'exploitation d'un restaurant, bar et lounge. A cet égard, l'appelant ne peut pas soutenir qu'il ne pouvait se rendre compte de l'existence du défaut, alors qu'il était auparavant associé-gérant d'une société active dans le domaine de la restauration et de l'hôtellerie et qu'il était accompagné d'un ami architecte lors des premières visites des lieux ayant précédé la signature du contrat. Il n'a pour le surplus pas été démontré qu'un défaut était survenu après la conclusion du contrat, du fait que l'assemblée des copropriétaires ait voté, le 15 novembre 2011, la modification du cahier de répartition des locaux en supprimant la mention « restaurant ». Aucune modification du contrat de bail n'est en effet intervenue suite à cet élément. Si l'appelant a restitué, début janvier 2012, les clés de l'établissement à l'Office des faillites, c'est en raison de la résiliation de bail du 28 octobre 2011, notifiée pour défaut de paiement, avec effet au 31 décembre 2011, tel qu'il l'a expressément indiqué dans son pli du 2 janvier 2012, et non en raison de la modification adoptée par les copropriétaires. Il découle de ce qui précède que l'appelant ne dispose d'aucune créance compensante liée à un défaut de la chose louée.</w:t>
      </w:r>
    </w:p>
    <w:p>
      <w:r>
        <w:rPr>
          <w:b/>
        </w:rPr>
        <w:t>E. 5</w:t>
      </w:r>
    </w:p>
    <w:p>
      <w:r>
        <w:t>L'appelant invoque encore la compensation des créances de loyer avec une créance dont il se prévaut au titre d'indemnité pour la plus-value apportée aux locaux par la réalisation de travaux.</w:t>
      </w:r>
    </w:p>
    <w:p>
      <w:r>
        <w:rPr>
          <w:b/>
        </w:rPr>
        <w:t>E. 5.1</w:t>
      </w:r>
    </w:p>
    <w:p>
      <w:r>
        <w:t>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L'art. 260a al. 3 CO est de droit dispositif (ATF 124 III 149 consid. 4 et 5). Les parties peuvent convenir d'une indemnité plus élevée que ne l'exige la disposition, ou au contraire supprimer toute indemnité (Lachat, Commentaire romand, N°9 ad. art. 260a CO). La plus-value correspond à la valeur ajoutée à la chose louée, non amortie à la fin du bail. Elle s'apprécie objectivement, compte tenu des frais assumés par le locataire et de l'utilité des travaux pour le bailleur (Lachat, op. cit., no 7 ad. art. 260a CO). Le juge doit apprécier de cas en cas si la plus-value est considérable, en tenant compte de l'ensemble des circonstances, tels que par exemple le coût des travaux et le loyer payé par le locataire. La nature dispositive de l'art. 260a al. 3 CO s'étend au caractère considérable de la plus-value. Les parties peuvent convenir d'une indemnisation même si les travaux de rénovation et de modification n'entraînent pas une plus-value considérable de la chose, voire même aucune plus-value. Par contre, l'art. 260a al. 3 CO ne trouve pas application si la clause d'indemnisation ne concerne pas des travaux de rénovation ou de modification de la chose louée.</w:t>
      </w:r>
    </w:p>
    <w:p>
      <w:r>
        <w:rPr>
          <w:b/>
        </w:rPr>
        <w:t>E. 5.2</w:t>
      </w:r>
    </w:p>
    <w:p>
      <w:r>
        <w:t>En l'espèce, l'article 4 des dispositions particulières du contrat de bail exclut expressément le droit à une indemnité pour les travaux réalisés par le locataire. La validité de cette clause, conforme au droit vu le caractère dispositif de l'art. 260a al. 3 CO, n'est pas remise en cause par l'appelant. Ainsi, contrairement à ce que soutient l'appelant, le Tribunal n'avait pas à examiner, dans le jugement querellé, les divers justificatifs de paiement des travaux réalisés par le locataire, ceux-ci n'étant pas à même de modifier la solution retenue par les premiers juges. Partant, l'appelant ne dispose d'aucune créance venant compenser ses dettes de loyer.</w:t>
      </w:r>
    </w:p>
    <w:p>
      <w:r>
        <w:rPr>
          <w:b/>
        </w:rPr>
        <w:t>E. 6</w:t>
      </w:r>
    </w:p>
    <w:p>
      <w:r>
        <w:t>L'appelant se prévaut également d'un abus de droit de l'intimée, pour avoir requis la faillite de E______ SARL et l'inventaire de ses biens et refusé de manière injustifiée un transfert de bail.</w:t>
      </w:r>
    </w:p>
    <w:p>
      <w:r>
        <w:rPr>
          <w:b/>
        </w:rPr>
        <w:t>E. 6.1</w:t>
      </w:r>
    </w:p>
    <w:p>
      <w:r>
        <w:t>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 arrêt du Tribunal fédéral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w:t>
      </w:r>
    </w:p>
    <w:p>
      <w:r>
        <w:rPr>
          <w:b/>
        </w:rPr>
        <w:t>E. 6.2</w:t>
      </w:r>
    </w:p>
    <w:p>
      <w:r>
        <w:t>En demandant la faillite et l'inventaire des biens de E______ SARL, l'intimée a uniquement fait valoir ses droits, afin d'obtenir le paiement d'arriérés de loyer qu'elle réclamait à tout le moins depuis le 17 mai 2011, date à laquelle un avis de résiliation pour défaut de paiement a été adressé à l'appelant. C'est en raison du comportement de l'appelant, lequel était en retard dans le paiement du loyer, que l'intimée a dû procéder ainsi. La remise tardive des clés des locaux à la bailleresse, intervenue début mars 2012, alors que les clés avaient été restituées à l'Office des faillites début janvier 2012, est survenue indépendamment de la volonté de l'intimée, de sorte qu'il ne peut lui être reproché une attitude contradictoire. Par ailleurs, en refusant le transfert de bail en faveur de I______ et K______, l'intimée n'a commis aucun abus de droit. En effet, lorsque l'appelant a proposé des repreneurs, par courrier du 19 décembre 2011, le contrat avait déjà été résilié trois fois, en raison d'un défaut de paiement et de nuisances en relation avec l'exploitation de l'établissement. Elle n'avait donc aucune obligation d'accepter de conclure un nouveau contrat, a fortiori alors que l'appelant proposait la reprise à la condition qu'il soit mis fin à toutes les procédures à son encontre. Ainsi, l'appelant n'a pas établi et il ne ressort pas de la procédure que l'intimée ait agi sans intérêt dans l'exercice de ses droits, en utilisant une institution juridique contrairement à son but, en créant une disproportion manifeste des intérêts en présence, en exerçant ses droits sans ménagement ou en faisant preuve d'une attitude contradictoire. Le grief de l'abus de droit doit donc être rejeté.</w:t>
      </w:r>
    </w:p>
    <w:p>
      <w:r>
        <w:rPr>
          <w:b/>
        </w:rPr>
        <w:t>E. 7</w:t>
      </w:r>
    </w:p>
    <w:p>
      <w:r>
        <w:t>Dans son appel joint, l'intimée fait grief au Tribunal d'avoir considéré qu'elle n'avait pas apporté la preuve des démarches effectuées en vue de la relocation des locaux et qu'en faisant preuve de la diligence requise, les locaux auraient pu être reloués à compter du 1 er mai 2012.</w:t>
      </w:r>
    </w:p>
    <w:p>
      <w:r>
        <w:rPr>
          <w:b/>
        </w:rPr>
        <w:t>E. 7.1</w:t>
      </w:r>
    </w:p>
    <w:p>
      <w:r>
        <w:t>La doctrine et la jurisprudence retiennent que le locataire qui ne s'acquitte pas ponctuellement de son loyer viole ses obligations contractuelles. Dans la mesure où la résiliation anticipée du contrat cause un préjudice au bailleur, celui-ci peut faire valoir des prétentions en dommages et intérêts, qui équivalent aux loyers que le bailleur n'a pas été en mesure de percevoir du fait de la rupture anticipée du contrat. Le dommage auquel peut prétendre le bailleur comprend notamment le loyer échu depuis le départ du locataire et jusqu'à la relocation des locaux. La loi (art. 44 et 99 al. 3 CO) impose toutefois au bailleur de faire diligence pour diminuer son dommage. Dès lors, le juge pourra diminuer l'indemnité du montant que le bailleur aurait pu récupérer s'il avait cherché activement un nouveau locataire. Il incombe ainsi au bailleur de démontrer que malgré ses efforts, il n'a pas été en mesure de relouer les locaux aussitôt après la restitution de ceux-ci (Lachat, Le bail à loyer, 2008, p. 674; Bohnet/Montini, Droit du bail à loyer, ad art. 257d CO, n. 49 à 51).</w:t>
      </w:r>
    </w:p>
    <w:p>
      <w:r>
        <w:rPr>
          <w:b/>
        </w:rPr>
        <w:t>E. 7.2</w:t>
      </w:r>
    </w:p>
    <w:p>
      <w:r>
        <w:t>Comme l'a relevé le Tribunal, l'intimée n'a produit aucun document attestant du fait qu'elle aurait effectué des démarches en vue de relouer les locaux, à compter du mois de janvier 2012, après le désistement des époux L______ et M______. Contrairement à ce qu'elle soutient en expliquant qu'elle ne peut apporter la preuve d'un fait négatif, elle aurait pu produire des offres de location des locaux ou d'autres documents attestant de contacts avec des locataires potentiels. Comme l'a relevé le Tribunal, les témoins Q______ et P______ n'ont donné aucune indication précise sur les démarches effectuées par l'intimée en vue de relouer les locaux. Le fait que, selon les témoins, les recherches aient été entravées par les exigences élevées de la bailleresse concernant la solvabilité des locataires et par un marché défavorable, ne suffit pas à retenir que l'intimée a fait toutes les démarches que l'on pouvait attendre d'elle pour diminuer son dommage. A l'instar des premiers juges, la Cour considère ainsi qu'une juste pesée des intérêts conduit à retenir qu'avec la diligence requise par les circonstances, l'intimée aurait pu relouer les locaux à compter du 1 er mai 2012. Partant, le jugement querellé sera confirmé.</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26 mai 2015 par A______ et l'appel joint interjeté le 29 juin 2015 par B______ SA contre le jugement JTBL/490/2015 rendu le 20 avril 2015 par le Tribunal des baux et loyers dans la cause C/27556/2012-4 OOD. Au fond : Confirme le jugement.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