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C/27479/2017 vom 26. April 2018</w:t>
      </w:r>
    </w:p>
    <w:p>
      <w:r>
        <w:t>GE Cour de justice, 2018-04-26, FR</w:t>
      </w:r>
    </w:p>
    <w:p>
      <w:r>
        <w:rPr>
          <w:b/>
        </w:rPr>
        <w:t xml:space="preserve">Quelle: </w:t>
      </w:r>
      <w:r>
        <w:t>https://mcp.opencaselaw.ch/entscheid/ge_gerichte_C_27479_2017</w:t>
      </w:r>
    </w:p>
    <w:p>
      <w:r>
        <w:t>FR: GE_GERICHTE C/27479/2017 du 26 avril 2018</w:t>
      </w:r>
    </w:p>
    <w:p>
      <w:r>
        <w:t>IT: GE_GERICHTE C/27479/2017 del 26 aprile 2018</w:t>
      </w:r>
    </w:p>
    <w:p>
      <w:pPr>
        <w:pStyle w:val="Heading2"/>
      </w:pPr>
      <w:r>
        <w:t>Regeste</w:t>
      </w:r>
    </w:p>
    <w:p>
      <w:r>
        <w:t>CONCURRENCE DÉLOYALE ; COMPÉTENCE RATIONE MATERIAE ; COMPÉTENCE RATIONE LOCI ; MESURE PROVISIONNELLE ; ACTION EN INTERDICTION ; DOMMAGE IRRÉPARABLE ; RISQUE DE CONFUSION ; DROIT DE LA PROPRIÉTÉ INTELLECTUELLE ; SIGNE DISTINCTIF</w:t>
      </w:r>
    </w:p>
    <w:p>
      <w:pPr>
        <w:pStyle w:val="Heading2"/>
      </w:pPr>
      <w:r>
        <w:t>Erwägungen</w:t>
      </w:r>
    </w:p>
    <w:p>
      <w:r>
        <w:rPr>
          <w:b/>
        </w:rPr>
        <w:t>E. 1.1</w:t>
      </w:r>
    </w:p>
    <w:p>
      <w:r>
        <w:t>Selon l'art. 5 al. 1 let. d CPC, le droit cantonal institue la juridiction compétente pour statuer en instance cantonale unique sur les litiges relevant de la loi fédérale du 19 décembre 1986 contre la concurrence déloyale lorsque la valeur litigieuse dépasse 30'000 fr. (…). Selon l'art. 120 al. 1 let. a de la loi cantonale sur l'organisation judiciaire (LOJ; E 2 05), la Chambre civile de la Cour de justice exerce les compétences que le CPC attribue à la juridiction cantonale unique (…). Cette compétence vaut également pour statuer sur les mesures provisionnelles requises avant litispendance (art. 5 al. 2 CPC).</w:t>
      </w:r>
    </w:p>
    <w:p>
      <w:r>
        <w:rPr>
          <w:b/>
        </w:rPr>
        <w:t>E. 1.2</w:t>
      </w:r>
    </w:p>
    <w:p>
      <w:r>
        <w:t>En l'espèce, la requête est fondée essentiellement sur les dispositions de la loi sur la concurrence déloyale. Les parties admettent à juste titre que la valeur litigieuse de 30'000 fr. est atteinte. La compétence ratione materiae de la Cour est ainsi donnée.</w:t>
      </w:r>
    </w:p>
    <w:p>
      <w:r>
        <w:rPr>
          <w:b/>
        </w:rPr>
        <w:t>E. 1.3</w:t>
      </w:r>
    </w:p>
    <w:p>
      <w:r>
        <w:t>Les requérants sont domiciliés à Genève, alors que le siège de la citée est à ______ (BE). Les actes de concurrence déloyale sont des actes illicites (art. 2 LCD). Selon l'art. 36 CPC, le tribunal du domicile ou du siège du lésé ou du défendeur ou le tribunal du lieu de l'acte ou du résultat de celui-ci est compétent pour statuer sur les actions fondées sur un acte illicite. En outre, est impérativement compétent pour ordonner les mesures provisionnelles, sauf disposition contraire de la loi, le tribunal compétent pour statuer sur l'action principale (art. 13 let. a CPC).</w:t>
      </w:r>
    </w:p>
    <w:p>
      <w:r>
        <w:rPr>
          <w:b/>
        </w:rPr>
        <w:t>E. 1.4</w:t>
      </w:r>
    </w:p>
    <w:p>
      <w:r>
        <w:t>Au vu du siège, respectivement du domicile, des requérants à Genève, la Cour est compétente ratione loci pour connaître de mesures provisionnelles dans le cadre d'un acte de concurrence déloyale.</w:t>
      </w:r>
    </w:p>
    <w:p>
      <w:r>
        <w:rPr>
          <w:b/>
        </w:rPr>
        <w:t>E. 2</w:t>
      </w:r>
    </w:p>
    <w:p>
      <w:r>
        <w:t>.</w:t>
      </w:r>
    </w:p>
    <w:p>
      <w:r>
        <w:rPr>
          <w:b/>
        </w:rPr>
        <w:t>E. 2.1</w:t>
      </w:r>
    </w:p>
    <w:p>
      <w:r>
        <w:t>Le tribunal peut ordonner toute mesure provisionnelle propre à prévenir ou à faire cesser le préjudice, notamment une interdiction (art. 262 let. a CPC). La procédure sommaire est applicable (art. 248 let. d CPC).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CPC commenté, 2011, n° 3 ad art. 261). Le requérant doit rendre vraisemblable que le droit matériel invoqué existe et que le procès a des chances de succès, les mesures provisionnelles ne pouvant être accordées que dans la perspective de l'action au fond qui doit la valider (art. 263 et 268 al. 2 CPC), ainsi que rendre vraisemblable, sur la base d'éléments objectifs, qu'un danger imminent menace son droit et enfin, rendre vraisemblable l'existence d'un risque de préjudice difficilement réparable, ce qui implique une urgence (Bohnet, op. cit., n° 3 ss, ibid.).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Le juge peut en outre se limiter à un examen sommaire des questions de droit (ATF 139 III 86 cité; Bohnet, op. cit., n° 7 ad art. 261 CPC). Comme indiqué, la vraisemblance requise doit en outre porter sur un préjudice difficilement réparable qui peut être patrimonial ou immatériel (Huber, Kommentar zur Schweizerischen Zivilprozessordnung (ZPO), 2 ème éd., 2013, n° 20 ad art. 261 CPC). Cette condition vise à protéger le requérant du dommage qu'il pourrait subir s'il devait attendre jusqu'à ce qu'une décision soit rendue au fond (ATF 139 III 86 consid. 5; arrêt du Tribunal fédéral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le fait accompli dont le jugement ne pourrait pas complètement supprimer les effets (arrêt du Tribunal fédéral 4A_611/2011 cité). En droit des marques ou en matière de concurrence déloyale, il est admis qu'un risque de confusion est en général de nature à engendrer une perturbation du marché, ainsi que d'autres dommages de nature immatérielle. La condition de menace d'un dommage difficile à réparer est dès lors en règle générale considérée comme remplie (Schlosser, Les conditions d'octroi des mesures provisionnelles en matière de propriété intellectuelle et de concurrence déloyale, in (sic!) 2005 p. 349; ACJC/335/2015 c. 4.1). La condition de l'urgence doit être considérée comme remplie lorsque sans mesures provisionnelles, le requérant risquerait de subir un dommage difficile à réparer au point que l'efficacité du jugement rendu à l'issue de la procédure ordinaire au fond serait compromise (Schlosser, op. cit., p. 354 ss).</w:t>
      </w:r>
    </w:p>
    <w:p>
      <w:r>
        <w:rPr>
          <w:b/>
        </w:rPr>
        <w:t>E. 2.2</w:t>
      </w:r>
    </w:p>
    <w:p>
      <w:r>
        <w:t>Les requérants estiment nécessaire et urgent le prononcé de telles mesures reprochant à la citée un acte de concurrence déloyale du fait de l'utilisation par elle-même du terme "D______" dans la description de modèles de montres qu'elle produit et distribue, terme protégé par une marque enregistrée appartenant à l'un des requérants et créant un risque de confusion avec la dénomination de "F______ D______" utilisé par eux sur certaines des pièces d'horlogeries qu'ils produisent et faisant référence à un système spécifique contenu dans lesdites montres. Est déloyal et illicite tout comportement ou pratique commerciale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Celui qui, par un acte de concurrence déloyale, subit une atteinte dans sa clientèle, son crédit ou sa réputation professionnelle, ses affaires ou ses intérêts économiques en général, peut demander au juge de la faire cesser et réclamer des dommages et intérêts conformément au Code des obligations (art. 9 al. 1 let. b et al. 3 LCD). Le comportement visé par l'art. 3 al. 1 let. d LCD suppose qu'un risque de confusion soit créé dans la perspective du public entre deux prestations, par l'emprunt à la prestation originale d'un de ses signes distinctifs protégés (Kuonen, Commentaire romand, Loi contre la concurrence déloyale,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exclusivement sur cette caractéristique pour démarquer la prestation d'une autre (Kuonen, op. cit., n° 18 ss, ad art. 3 al. 1 let. d LCD; Arpagaus, in Bundesgesetz gegen den unlauteren Wettbewerb, Basler Kommentar, n° 44 et ss, ad art. 3 al. 1 let. d LCD). Peuvent être protégés par l'art. 3 al. 1 let. d LCD non seulement des marques, des raisons sociales et des noms, mais aussi des noms de domaine, des enseignes, des acronymes, des logos ou encore des slogans (Kuonen, op. cit., n° 14 ss, ad art. 3 al. 1 let. d LCD; Arpagaus, op. cit., n° 42 et 84 ad art. 3 al. 1 let. d LCD; Troller, Manuel de droit suisse des biens immatériels, tome I, 2 ème éd., 1996, p. 128 et 507). La commission d'un acte de concurrence déloyale ne suppose ni mauvaise foi ni faute, mais simplement un acte objectivement contraire aux règles de la bonne foi en affaires (sic! 2009, p. 431 ss).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(ATF 131 III 572 consid. 3). A cet égard, il importe de savoir à quel milieu les produits ou services s'adressent et comment ils sont vendus ou proposés. Pour les articles de masse d'usage quotidien, il faut compter avec une attention et une capacité de distinguer des consommateurs plus réduite que pour les produits ou services spécialisés, dont les acheteurs ou clients se recrutent dans un cercle plus ou moins fermé de professionnels (ATF 126 III 315 consid. 6b/bb; ATF 122 III 382 consid. 2a). En présence de produits pour lesquels on peut s'attendre à une attention accrue de la part de l'acheteur, le risque de confusion doit être admis moins facilement; il en va notamment ainsi des montres (sauf celles très bon marché), des ordinateurs et des logiciels (ACJC 1527/2015 c. 2.2.1 et réf. citées).</w:t>
      </w:r>
    </w:p>
    <w:p>
      <w:r>
        <w:rPr>
          <w:b/>
        </w:rPr>
        <w:t>E. 2.3</w:t>
      </w:r>
    </w:p>
    <w:p>
      <w:r>
        <w:t>En l'espèce, la question de l'absence d'intérêt juridique aux conclusions prises par les requérants, ainsi que celle de l'imprécision de la conclusion n° 2, soulevées par la citée peuvent rester indécises dans la mesure de ce qui suit: Le phénomène de D______ correspond à ______ d'un système physique lorsque celui-ci est excité au voisinage de l'une de ses fréquences propres. Ce phénomène physique a été adapté à l'horlogerie au XVIIIe siècle. Il vise à améliorer la précision d'un mouvement. Plusieurs fabricants de montres utilisent ce phénomène physique, par le biais de systèmes différents, à ces fins. En 2003, B______ a enregistré la marque "D______". La marque en question est dépourvue de signes distinctifs. Les requérants n'ont pas rendu vraisemblable avoir fait un usage sérieux de cette marque. Il ressort du dossier que les montres au bénéfice d'un système de D______ fabriquées et mises sur le marché par les requérants, le sont sous les termes (sans doute une marque) "B______ ______ et ______". Elles sont qualifiées, sous la marque, en pied de cadran ou dans les catalogues, par la description "F______ D______". Ce qualificatif a, pour le public-cible, le but de désigner la technique utilisée dans le mouvement de la montre "B______ ______ et ______" qui la contient. Il ne ressort pas de la procédure que les requérants auraient mis sur le marché des montres contenant la marque "D______", et elle seule, telle que protégée. De son côté, la citée fabrique et met sur le marché des montres contenant une technique appliquant les principes physiques de la D______, brevetée, et quelque peu différente de celle développée par les requérants, sous les termes (sans doute une marque) "C______" et la description "E______ D______", et ce pour divers modèles. Les deux objets, dont le design est par ailleurs très différent et dont la marque mise en évidence l'est également, comportent toutefois les deux sur leur face le terme "D______", la montre des requérants indiquant qu'il s'agit d'un "F______ D______", celle de la citée adoptant la dénomination "E______ D______". Ces deux descriptions font référence à la technique utilisée pour mettre en œuvre le phénomène physique de la D______ visant à accroître la précision du mouvement. On retiendra qu'il n'y a toutefois, au stade de la vraisemblance, aucun risque de confusion entre les deux objets, du fait de l'apposition simultanée et en évidence des marques respectives d'une part, et d'autre part du fait de l'utilisation pour la description de la technique employée de deux terminologies bien distinctes, la technique propre de la citée, non similaire à celle des requérants, comme relevé par eux, étant par ailleurs protégée par un brevet. Enfin, comme cela ressort du dossier, le public visé par les produits des parties est un public avisé et plus attentif que le client de produits de masse, prêt à débourser plus de 50'000 fr. pour une entrée de gamme, de sorte que l'éventuel risque de confusion dans l'esprit d'un tel public doit être apprécié avec rigueur. Dès lors, en l'absence, au stade de la vraisemblance déjà, de risque de confusion, l'art. 3 al. 1 let. d LCD ne trouve pas application, de sorte que faute de danger imminent menaçant les droits des requérants, la requête de mesure provisionnelle n'est pas fondée, les chances de succès d'un procès au fond apparaissant prima facie limitées. Elle l'est d'autant moins que ne sont rendus vraisemblables ni risque de préjudice difficilement réparable, ni urgence nécessaire à la prise de mesures. En définitive et pour les motifs qui précèdent, la requête de mesures provisionnelles doit être rejetée.</w:t>
      </w:r>
    </w:p>
    <w:p>
      <w:r>
        <w:rPr>
          <w:b/>
        </w:rPr>
        <w:t>E. 3</w:t>
      </w:r>
    </w:p>
    <w:p>
      <w:r>
        <w:t>. Dans la mesure où ils succombent, les requérants supporteront les frais de la procédure, arrêtés à 2'200 fr. (art. 13 et 26 RTFMC) et compensés partiellement par l'avance de frais en 1'200 fr. versée par eux. Ils seront condamnés .conjointement et solidairement à payer à l'Etat le solde en 1'500 fr. Des dépens à hauteur de 3'200 fr. seront en outre mis à leur charge en faveur de la citée (art. 84 et 85 RTFMC et 23 LaCC). * * * * * PAR CES MOTIFS, La Chambre civile : Rejette la requête de mesures provisionnelles déposée le 27 novembre 2017 au greffe de la Cour de céans par A______ et B______ contre C______ dans la cause C/27479/2017. Met à la charge de A______ et B______, conjointement et solidairement, les frais de la procédure, arrêtés à 2'700 fr. et compensés partiellement par l'avance de frais de 1'200 fr. Les condamne au paiement, conjointement et solidairement, du solde des frais de procédure en 1'000 fr. à l'Etat. Les condamne en outre conjointement et solidairement, au paiement à C______ de la somme de 3'200 fr. à titre de dépens. Siégeant : Monsieur Cédric-Laurent MICHEL, président; Madame Pauline ERARD et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