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C/2738/2018 vom 22. Juni 2021</w:t>
      </w:r>
    </w:p>
    <w:p>
      <w:r>
        <w:t>GE Cour de justice, 2021-06-22, FR</w:t>
      </w:r>
    </w:p>
    <w:p>
      <w:r>
        <w:rPr>
          <w:b/>
        </w:rPr>
        <w:t xml:space="preserve">Quelle: </w:t>
      </w:r>
      <w:r>
        <w:t>https://mcp.opencaselaw.ch/entscheid/ge_gerichte_C_2738_2018</w:t>
      </w:r>
    </w:p>
    <w:p>
      <w:r>
        <w:t>FR: GE_GERICHTE C/2738/2018 du 22 juin 2021</w:t>
      </w:r>
    </w:p>
    <w:p>
      <w:r>
        <w:t>IT: GE_GERICHTE C/2738/2018 del 22 giugno 2021</w:t>
      </w:r>
    </w:p>
    <w:p>
      <w:pPr>
        <w:pStyle w:val="Heading2"/>
      </w:pPr>
      <w:r>
        <w:t>Regeste</w:t>
      </w:r>
    </w:p>
    <w:p>
      <w:r>
        <w:t>BANQUE ;DEPOT;GIROBA;RESTIT;ORDPAI;FAUX NON DECELES;CLAUSE DE TRANSFERT DE RISQUE | CO.402.al1; CO.100.al1; CO.102; CO.104</w:t>
      </w:r>
    </w:p>
    <w:p>
      <w:pPr>
        <w:pStyle w:val="Heading2"/>
      </w:pPr>
      <w:r>
        <w:t>Erwägungen</w:t>
      </w:r>
    </w:p>
    <w:p>
      <w:r>
        <w:rPr>
          <w:b/>
        </w:rPr>
        <w:t>E. 5</w:t>
      </w:r>
    </w:p>
    <w:p>
      <w:r>
        <w:t>Dans une deuxième étape, il faut examiner si le dommage occasionné par l'ordre de virement exécuté sans mandat est à la charge de la banque (système légal) ou, si, en raison de la conclusion d'une clause de transfert de risque, il est à la charge du client. Le cas échéant, le juge doit examiner la validité et les conditions de la clause de transfert de risque conclue par les parties, en particulier si la banque a commis une faute grave dans l'exécution de l'ordre de virement frauduleux. 5.1.1 Comme on l'a vu, dans le système légal, le dommage découlant du paiement exécuté sans mandat par la banque est un dommage de celle-ci, non du client (ATF 132 III 449 consid. 2). En effet, conformément aux principes généraux applicables en matière d'exécution des obligations (art. 68 ss CO), la banque subit un dommage car, ayant payé à un non-créancier, elle est tenue de payer une seconde fois le montant à son client (ATF 146 III 387 consid. 5.1 et les références). Dans ces cas, la banque n'acquiert pas de prétention en remboursement qu'elle pourrait opposer à ce dernier (art. 402 al. 1 CO; ATF 132 III 449 consid. 2 p. 452; arrêt du Tribunal fédéral 4A_379/2016 précité consid. 3.2.2). 5.1.2 Les parties peuvent toutefois modifier conventionnellement la réglementation légale. Ainsi, il est fréquent que les conditions générales des banques, auxquelles le client adhère, comportent une clause dite de transfert de risque. Généralement, cette clause prévoit que le dommage résultant de défauts de légitimation ou de faux non décelés est à la charge du client, sauf en cas de faute grave de la banque. Par l'effet de cette clause, le risque normalement supporté par la banque est ainsi reporté sur le client (ATF 146 III 326 consid. 6.1; 132 III 449 consid. 2; arrêts du Tribunal fédéral 4A_161/2020 du 6 juillet 2020 consid. 5.1.1; 4A_119/2018 du 7 janvier 2019 consid. 3.1; 4A_379/2016 précité consid. 3.3).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 principe supporter en cas d'exécution en main d'une personne non autorisée; cette clause met préventivement à la charge du client le dommage subi par la banque et institue, par conséquent, une responsabilité du premier envers la seconde, qui s'étend même aux cas fortuits (arrêt du Tribunal fédéral 4A_379/2016 précité consid. 3.3.1 et les références citées). La validité d'une telle clause doit être examinée par application analogique des art. 100 et 101 al. 3 CO, qui régissent les conventions d'exonération de la responsabilité pour inexécution ou exécution imparfaite du contrat, et ce bien que la clause de transfert de risque ne relève pas de l'inexécution contractuelle au sens des art. 97 ss CO. Par conséquent, si un dol ou une faute grave est imputable à la banque, la clause d'exonération est nulle (art. 100 al. 1 CO). Les mêmes principes doivent s'appliquer lorsque les parties sont convenues d'une décharge pour les instructions transmises par le client par téléphone, par téléfax ou par e-mail, qui autorise la banque à exécuter les instructions lui parvenant par l'un de ces moyens de transmission, et transfère les risques en découlant sur la tête du client, y compris les cas fortuits. Est réservée la faute grave de la banque, en vertu de l'art. 100 al. 1 CO applicable par analogie (ATF 146 III 326 consid. 6.1). 5.1.3 Constitue une faute grave la violation des règles élémentaires de prudence dont le respect se serait imposé à toute personne raisonnable placée dans les mêmes circonstances. Commet, en revanche, une négligence légère la personne qui ne fait pas preuve de toute la prudence qu'on aurait pu attendre d'elle, sans toutefois que sa faute - non excusable - puisse être considérée comme une violation des règles de prudence les plus élémentaires (ATF 146 III 326 consid. 6.2 et les références citées). La faute est légère lorsque la violation de la norme de comportement apparaît comme une inadvertance, un manque de diligence peu important (un homme raisonnable placé dans les mêmes circonstances ne l'aurait pas commise, mais il aurait pu lui arriver, une fois, de la commettre). Il n'existe pas de critère strict permettant de distinguer entre négligence grave et légère, la différence étant graduelle (THEVENOZ, CR CO I, 2 ème éd., 2012, n. 15 ad art. 100 CO). Le juge apprécie (art. 4 CC) les agissements de l'auteur négligent en se référant à la diligence que l'autre partie était en droit d'attendre, en vertu, notamment, des clauses du contrat, des usages professionnels et des règles de l'art, le cas échéant des règles internes à l'entreprise. Le fardeau de la preuve de la faute grave de la banque incombe au client (art. 8 CC) (arrêt du Tribunal fédéral 4A_161/2020 du 6 juillet 2020 consid. 5.1.2 et les références citées; THEVENOZ, op. cit., n. 15 ad art. 100 CO). 5.1.3.1 En règle générale, la banque n'est tenue de vérifier l'authenticité des ordres qui lui sont adressés que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s'il existe des indices sérieux d'une falsification, si l'ordre ne porte pas sur une opération prévue par le contrat ni habituellement demandée ou encore si les circonstances particulières suscitent le doute (ATF 132 III 449 consid. 2; arrêts du Tribunal fédéral 4A_438/2007 du 29 janvier 2008 consid. 5.3). Ainsi,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lesquelles étaient décelables au premier coup d'oeil (arrêt du Tribunal fédéral 4A_438/2007 précité consid. 5.5). Au consid. 5.4 de son arrêt 4A_438/2007 , le Tribunal fédéral a encore retenu ce qui suit : " Dans le système instauré par la [banque], l'examen de la signature du donneur d'ordre est la seule garantie contre un faux. Cet examen, consistant en une comparaison avec une signature de référence, est donc essentiel et doit dès lors être effectué non seulement de manière sérieuse, mais en plus par une personne ayant les connaissances nécessaires pour ce faire. En cas de différences objectivement susceptibles de susciter un doute sérieux, les contrôles doivent être poussés plus loin. Si après cela, le doute subsiste, il y a lieu de prendre contact avec le donneur d'ordre figurant sur l'ordre de paiement, fût-ce par un simple appel téléphonique. Exécuter l'ordre de paiement alors qu'un doute sérieux subsiste ou que des différences entre les signatures objectivement susceptibles de susciter un tel doute n'ont pas été constatées, sera en règle général constitutif d'une faute grave. La [banque] objecte qu'on ne saurait exiger d'elle un examen graphologique du genre de celui auquel a procédé la cour cantonale. Si elle entend par là soutenir qu'elle n'a pas à procéder à un contrôle détaillé et peut se limiter à un examen superficiel, elle ne saurait être suivie. Dès lors qu'elle entend faire supporter le dommage consécutif à l'exécution d'un ordre falsifié à son client, elle doit agir avec diligence afin de veiller aux intérêts légitimes de ce dernier, et elle ne saurait simplement se référer à de soi-disantes exigences de célérité liées au trafic des paiements pour s'y soustraire. Un examen superficiel ne serait au demeurant pas compatible avec la diligence usuelle que la [banque], dans ses conditions générales, s'est engagée à observer lors de la vérification des signatures, engagement auquel le client, non impliqué dans l'opération de contrôle et d'exécution de l'ordre, doit pouvoir se fier vu le risque financier qu'il encourt. Une comparaison sérieuse des signatures ne devrait d'ailleurs en règle générale pas prendre plus que quelques secondes; il n'y a là rien d'excessif ". La jurisprudence a également admis une faute grave de la banque en présence d'ordres frauduleux d'un gérant indépendant parce que ces ordres avaient pour conséquence de vider le compte de l'essentiel de sa substance alors que ce gérant n'avait pas le pouvoir de faire des bonifications à des tiers lorsque la contrepartie ne se retrouvait pas dans le compte du client (arrêt du Tribunal fédéral 4A_379/2016 précité consid. 5.3, résumé dans l'arrêt 4A_119/2018 du 7 janvier 2019 consid. 3.2). 5.1.3.2 Lorsque les parties sont convenues d'habiliter le client à transmettre des ordres par e-mail, la banque n'a pas non plus à prendre de mesures extraordinaires, incompatibles avec une liquidation rapide des opérations, et elle n'a pas à systématiquement présumer que l'e-mail qui lui est communiqué depuis l'adresse e-mail du client ne provient pas de celui-ci. La clause de transfert de risque met à la charge du client le dommage causé par des interventions illicites de tiers dans son système informatique ou sur son ordinateur. Il lui appartient en effet de prendre toutes les mesures de précaution nécessaires pour éviter de telles utilisations abusives. La responsabilité du client s'étend même aux cas fortuits, notion qui, en responsabilité contractuelle, englobe les événements et les comportements humains qui ne peuvent pas être imputés aux parties au contrat. Par conséquent, il ne peut y avoir de faute grave de la banque et, partant, de responsabilité de celle-ci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adresse, son texte, son contenu ou un lieu de virement exotique, et compte tenu de la situation du client, ne pouvait émaner de celui-ci (ATF 146 III 326 consid. 6.2.1.2 et les références citées). Ainsi, dans le cas d'un client dont la messagerie avait été piratée par des inconnus, ce qui leur avait permis d'adresser à la banque, à l'insu de celui-ci, des e-mails provenant de son adresse e-mail ainsi que d'intercepter, de manière à ce que le client n'en ait pas connaissance, les e-mails que lui adressait la banque à cette même adresse, la jurisprudence a retenu une faute grave de la banque parce que les ordres de virement étaient rédigés dans un anglais présentant des erreurs de syntaxe, des fautes d'orthographe et un vocabulaire approximatif alors que le client était un avocat de langue anglaise, qui s'était toujours exprimé en bon anglais, avec une syntaxe correcte et une variété de termes adéquats et précis, et que ces ordres portaient sur des montants importants à destination de deux bénéficiaires dans des banques à Hong Kong et à Singapour, dont le premier entamait déjà le compte de plus d'un quart, alors que le client, dont la relation avec la banque durait depuis vingt ans, avait constamment accru ses positions dans une optique de conservation à long terme, ce qui était connu de la banque (ATF 146 III 326 consid. 6.2.1.2 et les références citées). 5.1.4 Même en cas de faute grave de la banque, le juge doit encore examiner la faute concomitante du client, comme facteur d'interruption du lien de causalité adéquate, voire de réduction de l'indemnité qui lui est due. Autrement dit, lorsqu'il examine le défaut de diligence de la banque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 (arrêt du Tribunal fédéral 4A_161/2020 précité consid. 5.2). 5.2.1 En l'espèce, l'art. 1 al. 3 des conditions générales - dont les parties conviennent qu'elles ont été valablement intégrées à leur relation contractuelle - stipule que, " [d]ès lors que la Banque a fait preuve de la diligence d'usage , tout dommage pouvant résulter de défauts de légitimation ou de falsifications non décelées est à la charge du client ". L'art. 3 des conditions générales stipule par ailleurs que " Tout dommage lié à l'utilisation de services postaux, services de courrier, téléphone, télécopieur, courrier électronique ou tout autre moyen de transmission, en particulier par suite de retard, perte, malentendu, altération, double expédition ou fraude, est à la charge du Client, sauf en cas de faute grave de la Banque ". Ce faisant, les parties sont convenues de deux clauses de transfert de risque sur la tête du client, sauf faute grave de la banque (art. 100 al. 1 CO par analogie), pour les cas de défaut de légitimation et de faux non décelés et pour les conséquences liées à l'usage frauduleux de divers moyens de communication (courrier postal, téléphone, télécopieur, courrier électronique). Il s'ensuit que le dommage subi en cas de défauts de légitimation ou de faux non décelés est à la charge des appelants, sauf faute grave de l'intimée. Il convient donc de déterminer si une telle faute a été commise en l'espèce. 5.2.2 L'étendue du devoir de diligence de l'intimée doit s'apprécier en fonction des circonstances qui ont entouré l'exécution du virement litigieux. Lors de l'ouverture du compte n° 8______, en février 2013, A______ et son épouse ont expressément autorisé l'intimée à accepter leurs instructions téléphoniques et/ou par télécopieur. Au cours de la relation bancaire, l'intimée a également exécuté des ordres lui ayant été communiqués par téléphone et par courriel (cf. infra ). Selon l'art. 5 al. 3 des conditions générales, la Banque n'était en revanche pas tenue d'exécuter les ordres communiqués par téléphone, par téléfax ou par courrier électronique, faute d'accord particulier - exprès ou tacite - des parties sur ce point. Les parties conviennent que suite au décès de feu A______, la Banque a exigé que certaines instructions lui soient communiquées par courrier postal. H______ et G______ ont déclaré qu'en présence d'une hoirie composée de plusieurs membres, les exigences de la Banque étaient plus importantes, en ce sens qu'elle demandait à recevoir des instructions écrites, signées par tous les héritiers et communiquées par la voie postale; une instruction communiquée par téléphone ou par courriel n'était pas jugée suffisante. S'il s'agissait de procéder à des paiements effectués dans l'intérêt de la succession, tels que des frais médicaux ou des frais funéraires, la Banque pouvait cependant être moins formelle et accepter une instruction par téléphone. L'instruction du 8 décembre 2016, qui avait pour objet le paiement d'impôts successoraux en 7'976.75 EUR, a ainsi été exécutée sur la base d'une instruction téléphonique de B______, confirmée par courriel le jour même (cf. supra EN FAIT let. C.h). Contrairement à ce qu'a retenu le Tribunal, la Banque a également exécuté l'instruction du 12 avril 2017 sur la base d'un courriel et d'entretiens téléphoniques avec B______, sans que cette instruction ne lui soit communiquée par courrier postal (cf. supra EN FAIT let. C.l.a ss); l'intimée a allégué qu'elle s'était montrée moins formelle dans ce cas, dans la mesure où ces paiements avaient fait l'objet de contacts répétés avec les héritiers et qu'il s'agissait de transferts internes à la Banque. En exigeant de recevoir l'instruction du 30 avril 2017 par courrier postal, alors que cette instruction avait déjà été discutée au téléphone et confirmée par courriel du 1 er mai 2017, l'intimée se devait d'en vérifier l'authenticité avec la diligence requise par les circonstances. Si l'on se réfère à ses directives, en particulier à la note d'instruction " Prérequis anti-fraude et gestion des alertes en cas de fraude supposée ou avérée ", la Banque était tenue de procéder aux vérifications suivantes : (i) authentifier le donneur d'ordre, (ii) vérifier la signature, (iii) procéder à un " contrôle de la plausibilité ", (iv) effectuer un " contre-appel " au client en cas de doute, (v) le gérant devant en outre marquer son accord à l'exécution de l'instruction en y apposant son visa. En l'occurrence, l'instruction falsifiée du 30 avril 2017 ne porte pas le visa du gérant du compte et J______ a affirmé devant le Tribunal qu'il n'avait pas vérifié cette instruction, ajoutant qu'il déléguait la tâche de vérifier les signatures à ses assistantes. Il ressort des pièces produites que l'instruction litigieuse a été traitée et exécutée par K______, quand bien même la vérification des signatures relève de la responsabilité du gestionnaire du compte (i.e. J______), ainsi que l'ont déclaré le témoin G______ et H______ (celle-ci a indiqué qu'à sa connaissance, l'instruction avait été vérifiée par J______). Il résulte de ce qui précède que la Banque n'a pas vérifié la légitimation des appelants en se conformant à ses règles internes en la matière. Par ailleurs, dans la mesure où l'exigence de la Banque visait à réduire les risques de défauts de légitimation et de faux non décelés, l'on pouvait attendre d'elle qu'elle se montre particulièrement attentive avant d'exécuter l'ordre reçu par pli postal. En partant du principe qu'une instruction par téléphone et/ou par courriel ne présentait pas des garanties suffisantes quant à l'identité du donneur d'ordre, l'intimée a en effet admis, à tout le moins implicitement, qu'un certain contrôle était de mise et que l'ordre concerné ne devait pas être exécuté sans une vérification sérieuse. Enfin, si la Banque n'était pas tenue d'exécuter les instructions transmises par téléphone et/ou par courriel - ce qu'elle a accepté de faire pour d'autres instructions, tant avant qu'après le décès de A______ -, il va de soi qu'elle ne pouvait pas pour autant ignorer totalement les ordres lui parvenant par ces moyens de communication, surtout s'ils contenaient des indices sérieux de faux. Tant les règles de la bonne foi que la nature du contrat exigeaient au contraire de l'intimée qu'elle compare l'ensemble des instructions figurant à son dossier - en tant que ces instructions étaient supposées être identiques, car émanant du même donneur d'ordre et ayant trait à la même opération bancaire - afin de limiter les risques de défauts de légitimation et de faux non décelés (ce qui était précisément le but poursuivi par la Banque en exigeant de recevoir les instructions par courrier postal). Ainsi que l'ont relevé les appelants, une telle comparaison s'imposait tant pour écarter un risque de fraude que pour prévenir une simple erreur dans la seconde transmission de l'ordre par voie postale. En l'occurrence, une comparaison - même succincte - de l'ordre transmis par courriel (le 1 er mai 2017) avec celui reçu par pli postal (aux alentours du 10 mai 2017), suffisait à soulever de sérieux doutes quant à l'authenticité des ordres considérés. En effet, une personne raisonnable placée dans les mêmes circonstances aurait tout de suite relevé que les références du compte bancaire de la notaire, bénéficiaire du paiement, n'étaient manifestement pas les mêmes : ainsi, l'ordre authentique, transmis par courriel, mentionnait l'IBAN n° 7______ et le code BIC M______, alors que l'ordre falsifié mentionnait l'IBAN n° 4______ et le code BIC N______. Contrairement à ce qu'a retenu le Tribunal, une telle différence était décelable au premier coup d'oeil, cela d'autant plus pour un employé bancaire habitué à gérer le trafic de paiement de sa clientèle. Un second élément visuel permettait également de relever la non-concordance entre les deux ordres écrits reçus par la Banque : alors que l'instruction authentique comporte une rature, au niveau du prénom " C______ " (celui-ci ayant été barré, car mentionné deux fois, et remplacé par le prénom " D______ "), cette rature ne figure plus sur l'instruction falsifiée. Cette divergence aurait également dû inciter le gestionnaire prudent à s'assurer que l'identité des donneurs d'ordre, l'identité de la bénéficiaire du paiement et les références bancaires du compte à créditer étaient effectivement les mêmes dans les deux ordres. Confrontée à des différences objectives propres à susciter un doute sérieux quant à la véracité de l'ordre reçu par voie postale, l'intimée devait procéder à des vérifications supplémentaires. Il lui appartenait en particulier de contacter B______ ou l'un des autres héritiers, ceux-ci étant aisément joignables par téléphone (les directives internes de l'intimée préconisent d'ailleurs d'effectuer un contre-appel au client en cas de doute), afin de s'enquérir auprès d'eux de l'exactitude des références fournies s'agissant du compte bancaire de la notaire bénéficiaire (selon les fiches de contact de la Banque, les héritiers ont pris l'initiative de téléphoner à l'intimée le 10 mai 2017 - et non l'inverse -, sans que cette question ne soit abordée). Un simple appel téléphonique du gestionnaire aux clients aurait pourtant permis de démasquer la fraude et, partant, d'empêcher le virement dommageable. En exécutant l'ordre de paiement litigieux, alors qu'un doute sérieux subsistait quant à son authenticité, l'intimée a commis une faute grave. Le fait que l'instruction litigieuse a été discutée au téléphone par les parties, à fin avril 2017 et le 10 mai 2017, ne change rien à cette appréciation, dès lors qu'une confirmation téléphonique n'était pas - en soi - jugée suffisante par la Banque. De même, le fait que les deux ordres étaient similaires à certains égards (caractères, tournures de phrase, syntaxe) et que les signatures y figurant ne différaient pas grossièrement entre elles, ne change rien à la gravité de la faute commise par l'intimée. Le simple fait que ces deux ordres, censés être identiques, invitaient l'intimée à transférer 141'599.85 EUR à la même bénéficiaire, mais sur deux comptes bancaires distincts, aurait dû interpeller la Banque et l'amener à mener un contrôle plus approfondi. Cette conclusion s'impose d'autant plus qu'une comparaison des deux ordres (identités du donneur d'ordre et du bénéficiaire, références du compte bancaire à créditer, signatures) n'aurait pris que quelques secondes, voire une minute, au gestionnaire du compte, étant observé que chaque ordre tient sur une page A4. Une telle précaution était de surcroît compatible avec la diligence usuelle que l'intimée, dans ses conditions générales, s'était engagée à observer en vérifiant la légitimation du donneur d'ordre, engagement auquel les appelants, non impliqués dans l'opération de contrôle et d'exécution de l'ordre, devaient pouvoir se fier vu le risque financier qu'ils encouraient. En outre, une comparaison entre les deux ordres reçus n'avait rien d'excessif et ne revenait pas à exiger de la Banque qu'elle accomplisse une mesure extraordinaire, incompatible avec une liquidation rapide des opérations. Force est dès lors de constater que l'intimée n'a pas respecté les règles élémentaires de prudence que toute banque placée dans les mêmes circonstances aurait observées. Cette faute doit être qualifiée de grave, de sorte que le dommage résultant du virement frauduleux doit être supporté par la Banque. Au surplus, l'intimée ne se prévaut d'aucune faute concomitante des appelants, comme facteur d'interruption du lien de causalité adéquate, voire de réduction de l'indemnité qui leur est due. 5.2.3 Il résulte des considérations qui précèdent que les appelants - qui agissent en exécution du contrat - sont fondés à réclamer la restitution des avoirs confiés à l'intimée, non amputés des prélèvements indus. Partant, ils sont en droit de lui réclamer le paiement de 141'619.50 EUR, à savoir 141'599.85 EUR plus les frais (la quotité de ces frais n'a pas été contestée par l'intimée). Le dies a quo des intérêts moratoires de 5% sera fixé au 30 juin 2017, date à laquelle les appelants ont sommé l'intimée de leur restituer leurs avoirs (art. 102 et 104 CO). 5.2.4 Par conséquent, le chiffre 4 du dispositif du jugement attaqué sera annulé et l'intimée sera condamnée à payer aux appelants, solidairement entre eux, la somme de 141'619.50 EUR, plus intérêts à 5% l'an dès le 30 juin 2017.</w:t>
      </w:r>
    </w:p>
    <w:p>
      <w:r>
        <w:rPr>
          <w:b/>
        </w:rPr>
        <w:t>E. 6.1</w:t>
      </w:r>
    </w:p>
    <w:p>
      <w:r>
        <w:t>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w:t>
      </w:r>
    </w:p>
    <w:p>
      <w:r>
        <w:rPr>
          <w:b/>
        </w:rPr>
        <w:t>E. 6.2</w:t>
      </w:r>
    </w:p>
    <w:p>
      <w:r>
        <w:t>En l'espèce, la quotité des frais judiciaires et dépens de première instance n'a pas été contestée par les parties de sorte qu'elle sera confirmée. Compte tenu de l'issue de la procédure d'appel, les frais judiciaires de première instance en 12'340 fr. seront mis à la charge de l'intimée, qui succombe, et compensés avec les avances versées par les appelants, qui restent acquises à l'Etat de Genève. L'intimée sera ainsi condamnée à verser 12'340 fr. aux appelants, solidairement entre eux, à titre de remboursement des frais judiciaires de première instance. Les parties se verront par ailleurs rembourser le solde de leurs avances de frais, à savoir 200 fr. pour les appelants et 300 fr. pour l'intimée. Les dépens suivront le même sort que les frais judiciaires. L'intimée sera ainsi condamnée à payer 14'890 fr., TVA et débours inclus, aux appelants, solidairement entre eux, à titre de dépens de première instance. Les chiffres 2 et 3 du dispositif du jugement entrepris seront annulés et il sera statué dans le sens qui précède.</w:t>
      </w:r>
    </w:p>
    <w:p>
      <w:r>
        <w:rPr>
          <w:b/>
        </w:rPr>
        <w:t>E. 7</w:t>
      </w:r>
    </w:p>
    <w:p>
      <w:r>
        <w:t>Les frais judiciaires d'appel seront arrêtés à 10'800 fr. (art. 5, 17 et 35 RTFMC), mis à la charge de l'intimée qui succombe (art. 106 al. 1 CPC) et compensés avec l'avance fournie par les appelants, qui reste acquise à l'Etat de Genève (art. 111 al. 1 CPC). L'intimée sera condamnée à rembourser ce montant aux appelants, solidairement entre eux. L'intimée sera par ailleurs condamnée à verser aux appelants, solidairement entre eux, la somme de 9'000 fr., débours et TVA compris, à titre de dépens d'appel (art. 84, 85, 87 et 90 RTFMC; art. 23 al. 1 LaCC). * * * * * PAR CES MOTIFS, La Chambre civile : A la forme : Déclare recevable l'appel interjeté par l'hoirie de feu A______, soit pour elle B______, C______, D______ et E______, contre les chiffres 2, 3 et 4 du dispositif du jugement JTPI/8401/2020 rendu le 29 juin 2020 par le Tribunal de première instance dans la cause C/2738/2018. Au fond : Annule les chiffres 2, 3 et 4 du dispositif de ce jugement et, statuant à nouveau sur ces points : Condamne F______ &amp; CIE SA à payer à B______, C______, D______ et E______, solidairement entre eux, la somme de 141'619.50 EUR, plus intérêts à 5% l'an dès le 30 juin 2017. Arrête les frais judiciaires de première instance à 12'340 fr., les met à la charge de F______ &amp; CIE SA et les compense avec les avances versées, qui restent acquises à l'Etat de Genève à due concurrence. Condamne F______ &amp; CIE SA à payer 12'340 fr. à B______, C______, D______ et E______, solidairement entre eux, à titre de remboursement des frais judiciaires de première instance. Invite les Services financiers du Pouvoir judicaire à restituer 200 fr. à B______, C______, D______ et E______, solidairement entre eux. Invite les Services financiers du Pouvoir judiciaire à restituer 300 fr. à F______ &amp; CIE SA. Condamne F______ &amp; CIE SA à payer 14'890 fr. à B______, C______, D______ et E______, solidairement entre eux, à titre de dépens de première instance. Confirme en tant que de besoin le chiffre 1 du dispositif du jugement attaqué. Déboute les parties de toutes autres conclusions. Sur les frais : Arrête les frais judiciaires d'appel à 10'800 fr., les met à la charge de F______ &amp; CIE SA et les compense avec l'avance versée, qui reste acquise à l'Etat de Genève. Condamne F______ &amp; CIE SA à verser 10'800 fr. à B______, C______, D______ et E______, solidairement entre eux, à titre de remboursement des frais judiciaires d'appel. Condamne F______ &amp; CIE SA à payer 9'000 fr. à B______, C______, D______ et E______, solidairement entre eux, à titre de dépens d'appel. Siégeant : Madame Ursula ZEHETBAUER GHAVAMI, présidente; Madame Nathalie RAPP,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