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C/2718/2016 vom 2. Mai 2017</w:t>
      </w:r>
    </w:p>
    <w:p>
      <w:r>
        <w:t>GE Cour de justice, 2017-05-02, FR</w:t>
      </w:r>
    </w:p>
    <w:p>
      <w:r>
        <w:rPr>
          <w:b/>
        </w:rPr>
        <w:t xml:space="preserve">Quelle: </w:t>
      </w:r>
      <w:r>
        <w:t>https://mcp.opencaselaw.ch/entscheid/ge_gerichte_C_2718_2016</w:t>
      </w:r>
    </w:p>
    <w:p>
      <w:r>
        <w:t>FR: GE_GERICHTE C/2718/2016 du 2 mai 2017</w:t>
      </w:r>
    </w:p>
    <w:p>
      <w:r>
        <w:t>IT: GE_GERICHTE C/2718/2016 del 2 maggio 2017</w:t>
      </w:r>
    </w:p>
    <w:p>
      <w:pPr>
        <w:pStyle w:val="Heading2"/>
      </w:pPr>
      <w:r>
        <w:t>Regeste</w:t>
      </w:r>
    </w:p>
    <w:p>
      <w:r>
        <w:t>PROTECTION DE L'UNION CONJUGALE ; EFFET SUSPENSIF ; REVENU HYPOTHÉTIQUE | CPC.315; CC.285;</w:t>
      </w:r>
    </w:p>
    <w:p>
      <w:pPr>
        <w:pStyle w:val="Heading2"/>
      </w:pPr>
      <w:r>
        <w:t>Volltext</w:t>
      </w:r>
    </w:p>
    <w:p>
      <w:r>
        <w:t>Genf Cour de Justice (Cour civile) Chambre civile 09.06.2017 C/2718/2016 Genève Cour de Justice (Cour civile) Chambre civile 09.06.2017 C/2718/2016 Ginevra Cour de Justice (Cour civile) Chambre civile 09.06.2017 C/2718/2016</w:t>
      </w:r>
    </w:p>
    <w:p>
      <w:r>
        <w:t>PROTECTION DE L'UNION CONJUGALE ; EFFET SUSPENSIF ; REVENU HYPOTHÉTIQUE | CPC.315; CC.285;</w:t>
      </w:r>
    </w:p>
    <w:p>
      <w:r>
        <w:t>C/2718/2016 ACJC/703/2017 du 09.06.2017 sur JTPI/5620/2017 ( SDF ) Descripteurs : PROTECTION DE L'UNION CONJUGALE ; EFFET SUSPENSIF ; REVENU HYPOTHÉTIQUE Normes : CPC.315; CC.285; Par ces motifs RÉPUBLIQUE ET CANTON DE GENÈVE POUVOIR JUDICIAIRE C/2718/2016 ACJC/703/2017 ARRÊT DE LA COUR DE JUSTICE Chambre civile du VENDREDI 9 JUIN 2017 Entre A______ , domicilié c/o B______, ______, ______ Genève, appelant d'un jugement rendu par la 20ème Chambre du Tribunal de première instance de ce canton le 2 mai 2017, comparant par Me Philippe Girod, avocat, 24, boulevard Georges-Favon, 1204 Genève, en l'étude duquel il fait élection de domicile, et C______ , domiciliée ______, ______ Genève, intimée, comparant par Me Diane Broto, avocate, 18, rue du Conseil-Général, 1205 Genève, en l'étude de laquelle elle fait élection de domicile. Attendu, EN FAIT , que par jugement du 2 mai 2017, le Tribunal de première instance, statuant sur mesures protectrices de l'union conjugale, a notamment, attribué à C______ la garde sur les enfants D______, née le ______ 2007, et E______, née le ______ 2008 (ch. 3), octroyé à A______ un droit de visite s'exerçant, à défaut d'accord contraire entre les parents, un week-end sur deux du vendredi soir au lundi matin et une semaine sur deux du lundi soir au mardi matin, A______ s'engageant à aller chercher les enfants le vendredi soir (au parascolaire au plus tard à 18h) et le lundi soir (aux études surveillées à 17h), ainsi que durant la moitié des vacances scolaires (ch. 4), dit que les montants permettant d'assurer l'entretien convenable des enfants sont, après déduction des allocations familiales, de 1'050 fr. par mois et par enfant jusqu'à 10 ans et de 1'250 fr. par mois et par enfant dès 10 ans (ch. 8), condamné A______ à verser à C______, par mois et d'avance, allocations familiales non comprises, la somme de 1'250 fr. à titre de contribution à l'entretien de D______ (ch. 9) et la somme de 1'050 fr. jusqu'à l'âge de 10 ans et ensuite la somme de 1'250 fr. à titre de contribution à l'entretien de E______ (ch. 10); Que le Tribunal a notamment imputé à A______, qui obtient des revenus de 3'500 fr. en sa qualité de gestionnaire de portefeuille et de fortune, un revenu hypothétique de 6'000 fr.; Que par acte déposé au greffe de la Cour le 15 mai 2017, A______ a formé appel de ce jugement, concluant à l'annulation des ch. 9 et 10 de son dispositif et à ce qu'il lui soit donné acte de son engagement à verser une contribution d'entretien de 300 fr. par mois et par enfant, subsidiairement, à ce qu'un délai d'adaptation de six mois dès le prononcé de l'arrêt de la Cour lui soit accordé; Qu'il expose qu'il a subi plusieurs licenciements successifs, dont le dernier en 2013, et qu'à l'issue de sa période chômage, en mai 2015, il avait trouvé un nouvel emploi lui procurant un revenu de 3'500 fr. par mois, qu'il n'avait pas volontairement renoncé à une source de revenus et avait fourni tous les efforts qui pouvaient être attendus de lui; Qu'A______ a par ailleurs conclu à la restitution de l'effet suspensif à son appel, se référant à ses explications selon lesquelles un revenu hypothétique avait été mis à sa charge à tort et qu'aucun délai d'adaptation ne lui avait été accordé; Qu'invitée à se déterminer à cet égard, C______ a conclu au rejet de la requête d'effet suspensif, invoquant que A______ n'établissait pas que son minimum vital serait atteint pas le paiement de la contribution d'entretien et qu'elle ne serait pas en mesure de lui rembourser, le cas échéant, le trop-perçu;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Tribunal a imputé à l'appelant un revenu hypothétique de 6'000 fr., alors qu'il perçoit des revenus effectifs de 3'500 fr.; Que le montant pris en compte à ce titre par le Tribunal est très inférieur à celui de 19'437 fr. à 25'412 fr. bruts indiqués par le calculateur de salaire en ligne de l'Etat de Genève pour une activité telle que celle exercée par l'appelant et il a ainsi déjà été tenu compte du fait que la situation actuelle de l'emploi dans le domaine de la gestion de fortune n'est pas aisée; Qu'il ne peut être considéré, à ce stade, prima facie , qu'une réduction supplémentaire devrait encore être nécessairement retenue et que par conséquent, les chances de succès du recours sont bonnes; Qu'il peut par ailleurs être exigé de l'appelant qu'il mette à contribution, le cas échéant, pour la durée limitée de la procédure d'appel, sa fortune, qu'il évalue à 150'000 fr., pour couvrir le montant d'environ 1'500 fr. qui entamerait son minimum vital si un revenu hypothétique ne devait pas lui être imputé; Que l'intérêt des enfants à ce que leurs charges soient couvertes l'emporte également sur celui de l'appelant à ne pas utiliser, à ce stade, sa fortune pour contribuer à leur entretien; Que l'appelant ne soutient pas, pour le surplus, que s'il obtient gain de cause, il ne pourra pas récupérer les montants qu'il aurait versé en trop; Qu'au vu de l'ensemble des circonstances, la requête tendant à suspendre l'effet exécutoire du jugement entrepris sera rejetée;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du jugement JTPI/5620/2017 rendu le 2 mai 2017 par le Tribunal de première instance dans la cause C/2718/2016-20.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