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C/27175/2019 vom 29. Mai 2020</w:t>
      </w:r>
    </w:p>
    <w:p>
      <w:r>
        <w:t>GE Cour de justice, 2020-05-29, FR</w:t>
      </w:r>
    </w:p>
    <w:p>
      <w:r>
        <w:rPr>
          <w:b/>
        </w:rPr>
        <w:t xml:space="preserve">Quelle: </w:t>
      </w:r>
      <w:r>
        <w:t>https://mcp.opencaselaw.ch/entscheid/ge_gerichte_C_27175_2019</w:t>
      </w:r>
    </w:p>
    <w:p>
      <w:r>
        <w:t>FR: GE_GERICHTE C/27175/2019 du 29 mai 2020</w:t>
      </w:r>
    </w:p>
    <w:p>
      <w:r>
        <w:t>IT: GE_GERICHTE C/27175/2019 del 29 maggio 2020</w:t>
      </w:r>
    </w:p>
    <w:p>
      <w:pPr>
        <w:pStyle w:val="Heading2"/>
      </w:pPr>
      <w:r>
        <w:t>Regeste</w:t>
      </w:r>
    </w:p>
    <w:p>
      <w:r>
        <w:t>CO.257d; CPC.257</w:t>
      </w:r>
    </w:p>
    <w:p>
      <w:pPr>
        <w:pStyle w:val="Heading2"/>
      </w:pPr>
      <w:r>
        <w:t>Erwägungen</w:t>
      </w:r>
    </w:p>
    <w:p>
      <w:r>
        <w:rPr>
          <w:b/>
        </w:rPr>
        <w:t>E. 1.1</w:t>
      </w:r>
    </w:p>
    <w:p>
      <w:r>
        <w:t>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 ème éd., 2019, n. 13 ad art. 308 CPC).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w:t>
      </w:r>
    </w:p>
    <w:p>
      <w:r>
        <w:rPr>
          <w:b/>
        </w:rPr>
        <w:t>E. 1.2</w:t>
      </w:r>
    </w:p>
    <w:p>
      <w:r>
        <w:t>En l'espèce, au vu du montant du loyer de 22'000 fr. par mois, la valeur litigieuse est supérieure à 10'000 fr., de sorte que la voie de l'appel est ouverte contre le prononcé de l'évacuation.</w:t>
      </w:r>
    </w:p>
    <w:p>
      <w:r>
        <w:rPr>
          <w:b/>
        </w:rPr>
        <w:t>E. 1.3</w:t>
      </w:r>
    </w:p>
    <w:p>
      <w:r>
        <w:t>L'appel, écrit et motivé, est introduit auprès de l'instance d'appel dans les 30 jours à compter de la notification de la décision motivée (art. 130, 131, 311 al. 1 CPC). Quand bien même il conclut en appel à la condamnation des intimés à lui verser, à titre d'indemnités pour occupation illicite, la somme de 22'000 fr. par mois dès le 1 er décembre 2019, l'appelant ne critique pas le jugement en ce qu'il le déboute de cette conclusion. L'appel est irrecevable dans cette mesure, faute de motivation. Interjeté en temps utile et selon la forme prescrite, il est recevable pour le surplus.</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 bailleur fait grief au Tribunal de n'avoir pas considéré que le cas était clair s'agissant de la résiliation du bail pour défaut de paiement. Les avis comminatoires avaient été valablement adressés aux locataires, à leur domicile officiel, chemin 3______. C'est à cause du comportement abusif de ces derniers que ces avis lui avaient été retournés avec la mention "introuvable à l'adresse indiquée". Il ne pouvait lui être reproché de n'avoir pas adressé d'avis comminatoire à la locataire à l'adresse des locaux loués. Les intimés contestent que le cas soit clair.</w:t>
      </w:r>
    </w:p>
    <w:p>
      <w:r>
        <w:rPr>
          <w:b/>
        </w:rPr>
        <w:t>E. 2.1</w:t>
      </w:r>
    </w:p>
    <w:p>
      <w:r>
        <w:t>2.1.1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rPr>
          <w:b/>
        </w:rPr>
        <w:t>E. 2.1.2</w:t>
      </w:r>
    </w:p>
    <w:p>
      <w:r>
        <w:t>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 En principe, les correspondances entre parties au bail doivent intervenir à l'adresse de notification mentionnée sur le bail. Faute de mention ou circonstance particulière, l'adresse de l'objet loué comme habitation ou locaux commerciaux peut généralement être retenue comme lieu de notification, compte tenu d'une interprétation objective des déclarations de volonté des parties selon le principe de la confiance. L'acte est en effet réputé notifié en matière conventionnelle lorsqu'il entre dans la sphère d'influence du destinataire (demeure ou domicile professionnel), qu'il lui soit remis ou déposé dans sa boîte aux lettres ou sa case postale. Lorsque le destinataire n'est plus atteignable à l'adresse mentionnée sur le bail, si l'auteur de l'acte ne dispose d'aucune information lui permettant de déterminer le lieu où le destinataire peut être atteint, la communication peut se faire à ladite adresse, puisque le dépôt dans la boîte aux lettres signifie que le pli entre dans la sphère d'influence du locataire. En revanche, si le bailleur sait le locataire absent et connaît avec précision le lieu où il peut être atteint (suite à une information de sa part ou de toute autre manière), c'est à ce lieu que la notification doit intervenir. A défaut, le bailleur qui se prévaudrait d'une notification dans de telles circonstances abuserait de son droit (art. 2 al. 2 CC) (BOHNET, Bail et notification viciée (arrêt du Tribunal fédéral 4A_74/2011 du 2 mai 2011), Newsletter Bail.ch, juillet 2011). S'agissant de la sommation de payer instituée par l'art. 257d al. 1 CO, à l'instar de ce qui prévaut pour les délais de procédure (cf. art. 138 al. 3 du CPC; ATF 130 III 396 consid. 1.2.3; 111 V 99 consid. 2b),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Cette théorie de la réception est dite relative (137 III 208 consid. 3.1.3).</w:t>
      </w:r>
    </w:p>
    <w:p>
      <w:r>
        <w:rPr>
          <w:b/>
        </w:rPr>
        <w:t>E. 2.2</w:t>
      </w:r>
    </w:p>
    <w:p>
      <w:r>
        <w:t>En l'espèce, c'est à juste titre que le Tribunal a considéré que le cas n'était pas clair. En effet, conformément à la jurisprudence susmentionnée, les avis comminatoires devaient être adressés aux locataires à l'adresse des locaux loués, et non pas à l'adresse figurant dans le registre de la population. D'ailleurs, ce n'est qu'en octobre 2019, soit après l'envoi de l'avis comminatoire, que l'appelant a pris des renseignements à cet égard. Il ne ressort pas des pièces au dossier qu'un avis comminatoire ait été adressé à l'intimée à l'adresse des locaux loués, ni qu'il lui soit parvenu à une autre adresse, celle-ci contestant d'ailleurs l'avoir reçu. Il n'est ainsi pas établi clairement que les conditions posées par l'art. 257d CO sont réalisées déjà pour ce motif, sans qu'il soit nécessaire d'examiner les autres arguments des parties. C'est à bon droit que les premiers juges ont retenu que les conditions du cas clair n'étaient pas réunies et ont déclaré la requête irrecevable. Le jugement entrepris sera ainsi confirmé.</w:t>
      </w:r>
    </w:p>
    <w:p>
      <w:r>
        <w:rPr>
          <w:b/>
        </w:rPr>
        <w:t>E. 3</w:t>
      </w:r>
    </w:p>
    <w:p>
      <w:r>
        <w:t>A teneur de l'art. 22 al. 1 LaCC, il n'est pas prélevé de frais dans les causes soumises à la juridiction des baux et loyers. * * * * * PAR CES MOTIFS, La Chambre des baux et loyers : A la forme : Déclare recevable l'appel formé le 3 février 2020 par A______ contre le jugement JTBL/53/2020 rendu le 16 janvier 2020 par le Tribunal des baux et loyers dans la cause C/27175/2019-7-SE. Au fond : Confirme ce jugement. Dit que la procédure est gratuite. Déboute les parties de toutes autres conclusions. Siégeant : Monsieur Ivo BUETTI, président; Madame Pauline ERARD, Madame Fabienne GEISINGER-MARIETHOZ, juges; Madame Laurence CRUCHON, Madame Silvia FENIELLO,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