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C/27038/2015 vom 26. August 2016</w:t>
      </w:r>
    </w:p>
    <w:p>
      <w:r>
        <w:t>GE Cour de justice, 2016-08-26, FR</w:t>
      </w:r>
    </w:p>
    <w:p>
      <w:r>
        <w:rPr>
          <w:b/>
        </w:rPr>
        <w:t xml:space="preserve">Quelle: </w:t>
      </w:r>
      <w:r>
        <w:t>https://mcp.opencaselaw.ch/entscheid/ge_gerichte_C_27038_2015</w:t>
      </w:r>
    </w:p>
    <w:p>
      <w:r>
        <w:t>FR: GE_GERICHTE C/27038/2015 du 26 août 2016</w:t>
      </w:r>
    </w:p>
    <w:p>
      <w:r>
        <w:t>IT: GE_GERICHTE C/27038/2015 del 26 agosto 2016</w:t>
      </w:r>
    </w:p>
    <w:p>
      <w:pPr>
        <w:pStyle w:val="Heading2"/>
      </w:pPr>
      <w:r>
        <w:t>Regeste</w:t>
      </w:r>
    </w:p>
    <w:p>
      <w:r>
        <w:t>INTERVENTION(PROCÉDURE) ; ABUS DE DROIT ; EXERCICE DU DROIT CONTRAIRE À SA FINALITÉ | CPC.74;</w:t>
      </w:r>
    </w:p>
    <w:p>
      <w:pPr>
        <w:pStyle w:val="Heading2"/>
      </w:pPr>
      <w:r>
        <w:t>Erwägungen</w:t>
      </w:r>
    </w:p>
    <w:p>
      <w:r>
        <w:rPr>
          <w:b/>
        </w:rPr>
        <w:t>E. 21</w:t>
      </w:r>
    </w:p>
    <w:p>
      <w:r>
        <w:t>décembre 2015. Il produit plusieurs pièces non soumises au Tribunal à ce propos. b. B______ a conclu au rejet de l'appel et à la confirmation de l'ordonnance attaquée. Elle conteste notamment la recevabilité de l'argumentation de A______ relative à l'expiration des temporary orders texans, ainsi que la recevabilité des pièces produites à ce propos. c. C______ et D______ ont conclu principalement à la révocation du blocage ordonné sur mesures provisionnelles et à la libération des comptes bancaires qu'elles détiennent auprès de G______ à Genève. Subsidiairement, elles ont conclu à ce que B______ soit astreinte à fournir des sûretés s'élevant à 1'000'0000 fr. au moins. D. a. Par acte déposé au greffe de la Cour de justice le 20 mai 2016, une autre société mentionnée dans l'annexe aux temporary orders américains, E______, forme une requête en intervention, concluant principalement à l'admission de son intervention à la procédure, à l'annulation de l'ordonnance du 5 avril 2016 et au déboutement de B______ de toutes ses conclusions sur mesures provisionnelles.![endif]&gt;![if&gt; A l'appui de ses conclusions, E______ expose qu'elle est une société de droit luxembourgeois contrôlant d'importantes participations dans diverses sociétés actives dans le commerce du gaz et du pétrole. Elle produit une copie d'une lettre non datée de G______, l'informant du blocage de son compte n. 2______ conformément à la décision rendue par le Tribunal de première instance à l'encontre de A______. E______ indique que ce blocage l'expose à des défauts de paiement, notamment vis-à-vis de son personnel et des autorités fiscales. Elle serait ainsi contrainte de licencier son personnel et pourrait faire l'objet de demandes de remboursement anticipé de la part de ses créanciers, pour plusieurs dizaines de millions de dollars. Il lui serait certes loisible d'ouvrir une relation bancaire auprès d'un autre établissement, mais celui-ci pourrait à son tour bloquer ses comptes s'il venait à prendre connaissance de la mesure de blocage, ce qui entraînerait finalement sa faillite. b. Les pièces produites par E______ indiquent que celle-ci a pour administrateur gérant et président A______. Ce dernier a notamment signé les comptes annuels de la société en 2015. Selon un document émanant d'un employé de E______, la société n'a pas versé de dividendes depuis le mois de juin 2008, ni remboursé de prêt, versé d'intérêts ou payé d'honoraires de directeurs depuis lors. Le salaire de l'employé susvisé pour les mois de décembre 2015 à avril 2016 a été payé par le biais d'une filiale du groupe F______ dont les comptes n'étaient pas bloqués, y compris les cotisations sociales et les impôts prélevés à la source. c. Dans de longs développements, E______ se détermine par ailleurs sur le mariage de A______ et de B______, sur le divorce prononcé au Mexique en 1959, sur le remariage de A______ avec J______, sur la reprise de la vie commune avec B______ nonobstant ce remariage, sur la relation de A______ avec une dernière compagne, dont il a eu une fille, ainsi que sur l'action en nullité du jugement de divorce intentée par B______ au Mexique en 2015. Au cours de ses développements, E______ se détermine également sur la procédure de divorce introduite au Texas en 2014. Elle conteste notamment que B______ fût alors domiciliée dans cet Etat, que l'acte introductif d'instance ait été régulièrement notifié à A______, que la Cour de District se soit prononcée sur l'exception d'incompétence ratione loci soulevée par ce dernier, que les temporary orders prononcés par ladite Cour soient encore en vigueur et que le jugement de divorce rendu par défaut le 21 décembre 2015 soit opposable à A______. E______ produit à l'appui de ses déterminations de nombreuses pièces jusque-là non versées à la procédure, relatives notamment à la situation personnelle de A______ et de B______, ainsi que divers extraits de la procédure de divorce texane. d. B______ s'est opposée à l'intervention de E______, au motif que celle-ci serait tardive et procéderait d'un abus de droit. e. A______ a déclaré accepter sans réserve l'intervention de E______ f. C______ et D______ ne se sont pas déterminées sur l'intervention de E______, bien qu'elles y aient été expressément invitées. g. Les parties ont été avisées de ce que la cause était gardée à juger sur la demande d'intervention de E______ par courrier du greffe de le Cour de justice du 30 mai 2016. EN DROIT 1. 1.1 L'intervention accessoire est possible dans tout type de procédure, y compris en procédure sommaire (Frei, Basler Kommentar ZPO, 2 ème éd., 2013, n. 17 ad art. 75 CPC; Staehelin/Schweizer, Kommentar zur Schweizerischen Zivilprozessordnung (ZPO), 3 ème éd., 2016, n. 13 ad art. 74 CPC).![endif]&gt;![if&gt; La requête en intervention peut être formée en tout temps aussi longtemps que la procédure est pendante, soit également devant la deuxième instance (Frei, op. cit., n. 11 ad art. 74 CPC; Göksu, DIKE-Komm-ZPO, 2 ème éd., 2016, n. 20, ad art. 74 CPC; Haldy, Code de procédure civile commenté, Bohnet et al. [éd.]. 2011, n. 5 ad art. 74 CPC). Elle doit indiquer le motif de l’intervention et la partie en faveur de laquelle elle est déposée (art. 75 al. 1 CPC). Il est sans pertinence pour la recevabilité de l'intervention accessoire de savoir si l'autorité saisie est compétente ou si les conditions de recevabilité du procès principal sont réunies (Frei, op. cit., n. 14 ad art. 74 CPC; Göksu, op. cit., n. 18 ad art. 74 CPC). 1.2 Le juge statue sur l'admission ou le rejet de l'intervention au moyen d'une ordonnance préparatoire d’instruction (Frei, op. cit., n. 8 ad art. 75 CPC; Göksu, op. cit., n. 11 ad art. 75 CPC). La procédure doit être simple et rapide (Staehelin/Schweizer, op. cit., 2013, n. 7 ad art. 75 CPC). La décision doit être rendue, si possible, sur la base des pièces et en évitant un prolongement de la procédure (Frei, op. cit., n. 8 ad art. 75 CPC; Göksu, op. cit., n. 11 ad art. 75 CPC). 1.3 En l'espèce, la requête en intervention de E______ (ci-après : l'intervenante) a été déposée dans le cadre de la procédure d'appel actuellement pendante entre A______ (ci-après : l'appelant), B______ (ci-après : l'intimée) et les sociétés C______ et D______ (ci-après : les autres intervenantes), dans une cause soumise à la procédure sommaire (cf. art. 248 let. d CPC). Respectant les exigences de forme prescrites par la loi, ladite requête en intervention est recevable. 2. 2.1 Selon l'art. 74 CPC, quiconque rend vraisemblable un intérêt juridique à ce qu'un litige pendant soit jugé en faveur de l'une des parties peut en tout temps intervenir à titre accessoire et présenter au tribunal une requête en intervention à cet effet.![endif]&gt;![if&gt; Par définition, l'intervenant accessoire ne fait donc pas valoir des prétentions propres, mais soutient les conclusions d'une des parties principales, qu'il a intérêt à voir triompher. Il doit rendre vraisemblable un intérêt juridique à ce que la partie aux côtés de laquelle il veut intervenir ait gain de cause (ATF 142 III 40 consid. 3.2.1; arrêt du Tribunal fédéral 5A_603/2013 du 25 octobre 2013 consid. 4.2). Un intérêt purement factuel, économique ou de parenté ne suffit pas. Un intérêt juridique à l'issue du litige principal existe, lorsque les propres droits et obligations de l'intervenant dépendent de l'existence ou de l'inexistence des droits ou des rapports de droit qui sont l'objet du procès opposant les parties principales. Le gain du procès par l'une des parties ou sa perte par l'autre partie doit par conséquent directement ou indirectement porter atteinte, compromettre ou aggraver la situation juridique de l'intervenant accessoire (Frei, op. cit., n. 2 ad art. 74 CPC; Göksu, op. cit., n. 11 ad art. 74 CPC). 2.2 Un abus de droit peut être réalisé lorsqu'une institution juridique est utilisée dans un but étranger à celui qui est le sien, afin de satisfaire des intérêts qu'elle n'a pas pour but de protéger (ATF 138 III 401 consid. 2.4.1; 135 III 162 consid. 3.3.1; 132 I 249 consid. 5). En cas d'abus de droit, le droit procédural invoqué n'est pas retenu (Bohnet, Code de procédure civile commenté, Bohnet et al. [éd.] 2011, n. 51 ad art. 52 CPC). L'existence d'un abus de droit se détermine selon les circonstances concrètes du cas (ATF 138 III 425 consid. 5.2; 138 III 401 consid. 2.4.1; 129 III 493 consid. 5.1). 2.3 En l'espèce, l'intervenante établit qu'un compte bancaire dont elle est titulaire a été bloqué en exécution de l'ordonnance rendue par le Tribunal dans la présente procédure. Elle soutient que cette mesure l'empêche de s'acquitter de ses obligations, notamment vis-à-vis de son personnel et de diverses administrations, ce qui pourrait entraîner pour elle de graves conséquences. Les pièces produites par l'intervenante indiquent cependant que le salaire du seul employé dont il est établi qu'il soit à sa charge a pu jusqu'ici être versé par le biais d'une société proche de l'intervenante, y compris en ce qui concerne les cotisations sociales et les impôts prélevés à la source. Il résulte des mêmes pièces que l'intervenante n'a plus versé de dividende, remboursé de prêt, payé d'intérêts ou ne s'est acquittée de quelconques honoraires depuis 2008. Dans ces conditions, il paraît douteux que la mesure de blocage litigieuse affecte concrètement les intérêts de l'intervenante, faute notamment pour celle-ci d'exercer une activité tangible; son intérêt personnel et juridique à prendre part au présent procès apparaît ténu. Rien n'indique par ailleurs que l'intervenante ne disposerait pas d'autres relations bancaires lui permettant de poursuivre ses activités, ni qu'elle ne pourrait le cas échéant en créer de nouvelles à cette fin. Contrairement à ce qu'elle soutient, le dispositif de l'ordonnance querellée n'a pas de portée générale, ce qui lui conférerait d'ailleurs un caractère exploratoire, mais ne vise que les avoirs détenus auprès de trois établissements bancaires en particulier; il est dès lors peu vraisemblable que d'autres établissements soient susceptibles de bloquer les actifs de l'intervenante s'ils venaient à prendre connaissance de l'ordonnance susvisée. Avec l'intimée, la Cour relève également que le courrier bancaire informant l'intervenante du blocage de son compte n'est curieusement pas daté, de sorte que l'on ignore la date exacte de ce blocage, ainsi que la durée pendant laquelle l'intervenante s'en est accommodée. Il est notamment observé que d'autres entités affectées par le blocage sont pour leur part intervenues au procès dès la première instance. Si ce délai n'a pas pour effet de rendre l'intervention tardive, comme le soutient l'intimée, puisque l'intervention est précisément possible en tout temps, il peut néanmoins indiquer que ce procédé n'a pas réellement pour objet de faire valoir l'intérêt au procès de l'intervenante, mais poursuit un autre but. En l'occurrence, si l'intervenante motive succinctement la mesure dans laquelle elle est personnellement affectée par le blocage litigieux, force est de constater qu'elle consacre surtout de longs développements au fond du litige, soit au procès matrimonial opposant l'appelant à l'intimée et notamment à la procédure de divorce intentée en 2014 aux Etats-Unis. Ce faisant, elle appuie et complète les moyens soulevés par l'appelant. Or, le procès en divorce susvisé ne concerne pas directement l'intervenante, ni n'a trait à son domaine d'activité; celle-ci apparaît pourtant bien renseignée à ce sujet, produisant notamment divers éléments nouveaux, tels que des extraits de la procédure américaine, à laquelle elle n'est pas partie, ainsi que diverses pièces relatives à la situation personnelle des parties principales. Il apparaît ainsi que l'intervention n'a pas tant pour objet de défendre les intérêts de l'intervenante que de conforter la position de l'appelant, dont il n'est pas contesté qu'il est son bénéficiaire économique et/ou qu'il la contrôle effectivement. Le fait que, contrairement aux autres intervenantes, l'intervenante ne conclue pas à la seule levée du blocage litigieux en tant qu'il la concerne, mais sollicite l'annulation de l'ordonnance entreprise dans son ensemble, constitue un indice supplémentaire en ce sens. Il apparaît également que l'intervenante se propose de verser à la procédure de nouveaux éléments, dont l'appelant ne pourrait par hypothèse plus se prévaloir lui-même au stade de l'appel. Un tel procédé ne saurait être admis et l'intervention paraît à ce titre abusive. Par conséquent, l'intervention sera en l'espèce rejetée, faute d'intérêt suffisant de l'intervenante elle-même et conformément aux principes interdisant qu'une institution de procédure soit utilisée dans un but étranger à celui qui est le sien. 3. Les frais judiciaires de la procédure d'intervention seront arrêtés à 1'000 fr. (art. 20 al. 1 et 26 du Règlement fixant le tarif des frais en matière civile, RTFMC) et mis à la charge de l'intervenante, qui succombe dans ses conclusions (art. 106 al. 1 CPC). ![endif]&gt;![if&gt; Celle-ci sera par conséquent condamnée à payer la somme de 1'000 fr. à l'Etat de Genève, soit pour lui les Services financiers du Pouvoir judiciaire (art. 111 al. 1 CPC). L'intervenante sera également condamné à s’acquitter des dépens de l'intimée, lesquels seront arrêtés à 1'000 fr., débours et TVA inclus (art. 84, 85, 87 et 88 RTFMC, art. 25 et 26 LaCC). Il ne sera pas alloué de dépens à l'appelant, qui succombe dans ses conclusions sur intervention, ni aux intervenantes, qui ne se sont pas déterminées sur la requête d'intervention (art. 106 CPC). 4. La présente ordonnance est susceptible d'un recours en matière civile dans les limites de l'art. 93 LTF. Compte tenu de la valeur des prétentions auxquelles l'intervenante estime qu'elle pourrait faire face, la valeur litigieuse est supérieure à 30'000 fr.![endif]&gt;![if&gt; * * * * * PAR CES MOTIFS, La Chambre civile : Statuant sur demande d'intervention : Déclare recevable la requête en intervention formée le 20 mai 2016 par E______ dans la cause C/27038/2015-4 SP. Rejette cette demande. Déboute les parties de toutes autres conclusions. Sur les frais : Arrête les frais judiciaires de la procédure d'intervention à 1'000 fr. et les met à la charge de E______ Condamne E______ à payer la somme de 1'000 fr. à l'Etat de Genève, soit pour lui les Services financiers du Pouvoir judiciaire. Condamne E______ à payer à B______ la somme de 1'000 fr. à titre de dépens. Dit qu'il n'est pas alloué de dépens pour le surplus.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