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C/26847/2019 vom 9. März 2021</w:t>
      </w:r>
    </w:p>
    <w:p>
      <w:r>
        <w:t>GE Cour de justice, 2021-03-09, FR</w:t>
      </w:r>
    </w:p>
    <w:p>
      <w:r>
        <w:rPr>
          <w:b/>
        </w:rPr>
        <w:t xml:space="preserve">Quelle: </w:t>
      </w:r>
      <w:r>
        <w:t>https://mcp.opencaselaw.ch/entscheid/ge_gerichte_C_26847_2019</w:t>
      </w:r>
    </w:p>
    <w:p>
      <w:r>
        <w:t>FR: GE_GERICHTE C/26847/2019 du 9 mars 2021</w:t>
      </w:r>
    </w:p>
    <w:p>
      <w:r>
        <w:t>IT: GE_GERICHTE C/26847/2019 del 9 marzo 2021</w:t>
      </w:r>
    </w:p>
    <w:p>
      <w:pPr>
        <w:pStyle w:val="Heading2"/>
      </w:pPr>
      <w:r>
        <w:t>Regeste</w:t>
      </w:r>
    </w:p>
    <w:p>
      <w:r>
        <w:t>DIVORCE;OBLIGATION D'ENTRETIEN;ENFANT;REVENU HYPOTHÉTIQUE;PRÉVOYANCE PROFESSIONNELLE;MINIMUM VITAL;DÉBUT | CC.124b.al2; CC.126; CC.276; CC.285</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sur le montant de la contribution à l'entretien de l'enfant des parties et le partage des avoirs de prévoyance professionnelle, il est de nature pécuniaire (ATF 133 III 393 consid. 2; arrêts du Tribunal fédéral 5A_42/2013 du 27 juin 2013 consid. 1.1; 5A_906/2012 du 18 avril 2013 consid. 1; 5A_236/2011 du 18 octobre 2011 consid. 1; 5A_511/2010 du 4 février 2011 consid. 1.1). La valeur litigieuse étant, en l'espèce, supérieure à 10'000 fr., l'appel, motivé et formé par écrit dans un délai de trente jours à compter de la notification de la décision, est recevable (art. 130, 131 et 311 al. 1 CPC).</w:t>
      </w:r>
    </w:p>
    <w:p>
      <w:r>
        <w:rPr>
          <w:b/>
        </w:rPr>
        <w:t>E. 1.2</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 cit.).</w:t>
      </w:r>
    </w:p>
    <w:p>
      <w:r>
        <w:rPr>
          <w:b/>
        </w:rPr>
        <w:t>E. 1.3</w:t>
      </w:r>
    </w:p>
    <w:p>
      <w:r>
        <w:t>Les parties ont déposé de nouvelles pièces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1.3.2</w:t>
      </w:r>
    </w:p>
    <w:p>
      <w:r>
        <w:t>Les pièces nouvelles produites, en lien avec le sort de l'enfant mineur, sont ainsi recevables, ainsi que les allégués de fait s'y rapportant.</w:t>
      </w:r>
    </w:p>
    <w:p>
      <w:r>
        <w:rPr>
          <w:b/>
        </w:rPr>
        <w:t>E. 1.4</w:t>
      </w:r>
    </w:p>
    <w:p>
      <w:r>
        <w:t>Les chiffres 1 à 9, 11, 12, 17 et 18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w:t>
      </w:r>
    </w:p>
    <w:p>
      <w:r>
        <w:rPr>
          <w:b/>
        </w:rPr>
        <w:t>E. 2</w:t>
      </w:r>
    </w:p>
    <w:p>
      <w:r>
        <w:t>La présente cause présente un élément d'extranéité en raison de la nationalité tunisienne de l'intimée et du domicile français de l'appelant. Les parties ne contestent, à juste titre, pas la compétence des autorités judiciaires genevoises (art. 59, 63 al. 1 et 79 al. 1 LDIP) et l'application du droit suisse (art. 61 al. 1, 63 al. 2 et 83 al. 1 LDIP; art. 4 al. 1 de la Convention de La Haye sur la loi applicable aux obligations alimentaires) au présent litige.</w:t>
      </w:r>
    </w:p>
    <w:p>
      <w:r>
        <w:rPr>
          <w:b/>
        </w:rPr>
        <w:t>E. 3</w:t>
      </w:r>
    </w:p>
    <w:p>
      <w:r>
        <w:t>L'appelant remet en cause la quotité de la contribution à l'entretien de D______ fixée par le premier juge, sa situation financière ayant, selon lui, été mal évaluée.</w:t>
      </w:r>
    </w:p>
    <w:p>
      <w:r>
        <w:rPr>
          <w:b/>
        </w:rPr>
        <w:t>E. 3.1</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Si l'enfant est sous la garde exclusive d'un parent en vivant dans son ménage et ne voit l'autre parent que dans le cadre du droit de visite et de vacances, le parent qui a la garde apporte déjà sa pleine contribution en nature à l'entretien en s'occupant de l'enfant et en l'élevant (ce qu'on appelle l'entretien en nature). Dans ce cas, dans le contexte de l'équivalence des aliments pécuniaires et en nature, les aliments pécuniaires incombent en principe entièrement à l'autre parent, bien que dans certaines constellations une dérogation au principe soit requise (consid. 5.5).</w:t>
      </w:r>
    </w:p>
    <w:p>
      <w:r>
        <w:rPr>
          <w:b/>
        </w:rPr>
        <w:t>E. 3.2</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w:t>
      </w:r>
    </w:p>
    <w:p>
      <w:r>
        <w:rPr>
          <w:b/>
        </w:rPr>
        <w:t>E. 3.3</w:t>
      </w:r>
    </w:p>
    <w:p>
      <w:r>
        <w:t>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5C_197/2004 du 9 février 2005 consid. 3.1; 5C_127/2003 du 15 octobre 2003 consid. 4.1.4).</w:t>
      </w:r>
    </w:p>
    <w:p>
      <w:r>
        <w:rPr>
          <w:b/>
        </w:rPr>
        <w:t>E. 3.4</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 ACJC/172/2019 du 5 février 2019 consid. 2.2).</w:t>
      </w:r>
    </w:p>
    <w:p>
      <w:r>
        <w:rPr>
          <w:b/>
        </w:rPr>
        <w:t>E. 3.5</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140 III 337 consid. 4.3; 137 III 59 consid. 4.2).</w:t>
      </w:r>
    </w:p>
    <w:p>
      <w:r>
        <w:rPr>
          <w:b/>
        </w:rPr>
        <w:t>E. 3.6</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3.7</w:t>
      </w:r>
    </w:p>
    <w:p>
      <w:r>
        <w:t>Selon la jurisprudence, lorsqu'un revenu hypothétique est imputé au débirentier ou au crédirentier, sa charge fiscale doit être estimée en fonction dudit revenu (arrêts du Tribunal fédéral 5A_246/2019 du 9 juin 2020 consid. 5.3.4; 5A_782/2016 du 31 mai 2017 consid. 6; 5A_339/2015 du 18 novembre 2015 consid. 6.2; 5A_778/2012 du 24 janvier 2013 consid. 5.4; 5A_679/2011 du 10 avril 2012 consid. 10).</w:t>
      </w:r>
    </w:p>
    <w:p>
      <w:r>
        <w:rPr>
          <w:b/>
        </w:rPr>
        <w:t>E. 3.8</w:t>
      </w:r>
    </w:p>
    <w:p>
      <w:r>
        <w:t>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481 consid. 4.5).</w:t>
      </w:r>
    </w:p>
    <w:p>
      <w:r>
        <w:rPr>
          <w:b/>
        </w:rPr>
        <w:t>E. 3.9</w:t>
      </w:r>
    </w:p>
    <w:p>
      <w:r>
        <w:t>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w:t>
      </w:r>
    </w:p>
    <w:p>
      <w:r>
        <w:rPr>
          <w:b/>
        </w:rPr>
        <w:t>E. 3.10</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Selon l'ATF 142 III 193 consid. 5.3,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De manière générale, il n'est pas non plus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des enfants.</w:t>
      </w:r>
    </w:p>
    <w:p>
      <w:r>
        <w:rPr>
          <w:b/>
        </w:rPr>
        <w:t>E. 3.11</w:t>
      </w:r>
    </w:p>
    <w:p>
      <w:r>
        <w:t>Les parties ne contestent pas l'application de la méthode du minimum vital pour la détermination de leur situation financière et celle de leur enfant. Compte tenu du fait qu'il a été statué sur l'entretien de D______ sur mesures protectrices de l'union conjugale, le dies a quo de la contribution sur divorce à l'entretien de l'enfant sera fixé à l'entrée en force partielle du jugement de divorce, soit à la date du 1 er octobre 2020 par souci de simplification.</w:t>
      </w:r>
    </w:p>
    <w:p>
      <w:r>
        <w:rPr>
          <w:b/>
        </w:rPr>
        <w:t>E. 3.11.1</w:t>
      </w:r>
    </w:p>
    <w:p>
      <w:r>
        <w:t>L'appelant perçoit un revenu mensuel d'environ 5'820 fr. Ses charges admissibles s'élèvent à 2'584 fr., comprenant le loyer (850 euros, soit environ 920 fr.), les frais de couverture maladie (344 fr. au total pour la prime de base LAMal, la franchise annuelle de 300 fr. et environ 90 fr. pour la prime auprès d'une mutuelle française), les frais pour un véhicule (300 fr., un montant supérieur n'ayant pas été justifié par l'appelant) et le montant de base selon les normes OP (1'020 fr., soit 1'200 fr. réduit de 15% pour un débiteur domicilié en France, le coût de la vie y étant notoirement moins élevé qu'en Suisse; SJ 2000 II 214 et ACJC/780/2015 du 26 juin 2015 consid. 4.4). Conformément aux principes rappelés ci-avant, il n'y a pas lieu d'intégrer aux charges de l'appelant les contributions qu'il verse à ses autres enfants H______ et I______, ainsi que de J______ (300 euros pour les deux premiers, l'appelant n'ayant pas justifié s'acquitter d'un montant supérieur, respectivement 200 euros pour J______, soit un total de 800 fr. correspondant à environ 870 fr.). Il ne sera tenu compte ni de l'arriéré du loyer du domicile conjugal (150 fr.), l'appelant ne s'en acquittant plus, ni des frais d'électricité, ceux-ci étant inclus dans le montant de base, ni de la taxe audiovisuelle, de la taxe d'habitation et de la prime d'assurance-ménage, aucune pièce y relative n'ayant été produite. L'appelant dispose, ainsi, d'un solde disponible de 3'236 fr. par mois, hors les contributions d'entretien, les taxes françaises, le remboursement de ses dettes et l'arriéré du domicile conjugal.</w:t>
      </w:r>
    </w:p>
    <w:p>
      <w:r>
        <w:rPr>
          <w:b/>
        </w:rPr>
        <w:t>E. 3.11.2</w:t>
      </w:r>
    </w:p>
    <w:p>
      <w:r>
        <w:t>L'intimée dispose d'une expérience dans le commerce international en Tunisie et a acquis, en Suisse, une formation de secrétaire médicale. Hormis des stages non rémunérés, elle n'a pas travaillé depuis son arrivée à Genève en 2015. Dans le jugement rendu sur mesures protectrices de l'union conjugale le 30 octobre 2018, le Tribunal avait retenu à son égard un revenu hypothétique d'environ 2'600 fr. pour une activité à 60% dès janvier 2019, étant relevé que l'intimée avait déclaré être disposée à travailler alors jusqu'à 70%. Dans le cadre de la procédure de divorce, elle n'a produit aucun justificatif de recherches d'emploi. L'enfant D______ est scolarisé depuis septembre 2020 et est pris en charge par la cantine scolaire et le parascolaire à raison de 4 jours plein par semaine, comme cela était déjà le cas lorsqu'il fréquentait son espace de vie enfantine. Il apparaît ainsi, d'une part, que la mère n'a pas justifié avoir entrepris les démarches que l'on pouvait attendre d'elle pour trouver un emploi à tout le moins depuis janvier 2019 et, d'autre part, qu'au vu de la prise en charge de l'enfant qu'elle a mise en place depuis plus d'une année, il peut être exigé d'elle qu'elle travaille au taux d'activité de 80%, de sorte qu'il lui sera imputé, sans délai, un revenu hypothétique à hauteur de 80%, soit un montant médian brut de 3'590 fr. par mois pour une activité de réceptionniste à Genève pour une personne de 40 ans, sans formation, sans expérience et sans fonction de cadre, selon le calculateur national de salaires, montant correspondant à un salaire d'environ 3'000 fr. par mois. Les charges de l'intimée du droit de la famille s'élèvent à environ 2'884 fr., comprenant la part de son loyer (80% de 1'520 fr., soit 1'216 fr.), la prime d'assurance-maladie (47 fr. 55, subside de 300 fr. déduit), l'arriéré de loyer (200 fr.), les frais de transports publics (70 fr.) et le montant de base (1'350 fr.), hors cotisation AVS, celle-ci étant comprise dans les déductions sociales opérées sur son salaire hypothétique brut, et étant en outre relevé qu'elle n'est pas imposable au vu de ses revenus (selon l'estimation effectuée au moyen de la calculette disponible sur le site internet de l'Administration fiscale genevoise). L'intimée dispose, dès lors, d'un montant disponible d'environ 115 fr. par mois.</w:t>
      </w:r>
    </w:p>
    <w:p>
      <w:r>
        <w:rPr>
          <w:b/>
        </w:rPr>
        <w:t>E. 3.11.3</w:t>
      </w:r>
    </w:p>
    <w:p>
      <w:r>
        <w:t>S'agissant de D______, ses charges incompressibles s'élèvent à 1'055 fr. arrondis, dès le 1 er septembre 2020, à 1'255 fr. dès le 1 er janvier 2026 (dès les 10 ans de l'enfant), puis à 985 fr. dès le 1 er juillet 2028 (dès l'âge de 12 ans suivi de la fin de la scolarité primaire), comprenant la part du loyer de sa mère (20% de 1'520 fr., soit 304 fr.), la prime d'assurance-maladie LAMal (38 fr. 60, subside déduit), les frais de cantine scolaire (105 fr. jusqu'au 30 juin 2028), les frais de parascolaire (165 fr. jusqu'au 30 juin 2028; (198 fr. x 10 mois) / 12 mois), les frais pour des activités extrascolaires (42 fr., allégués par la mère) et le montant de base (400 fr., puis 600 fr. dès l'âge de 10 ans), dont à déduire les allocations familiales (300 fr.). La contribution d'entretien, de 700 fr. par mois (cf. consid. 3.12), et les allocations familiales, de 300 fr. mensuellement, ne sont pas taxables, selon la calculette susmentionnée de l'Administration fiscale, dès lors qu'ajoutés aux revenus de la mère, celle-ci n'est pas imposable.</w:t>
      </w:r>
    </w:p>
    <w:p>
      <w:r>
        <w:rPr>
          <w:b/>
        </w:rPr>
        <w:t>E. 3.12</w:t>
      </w:r>
    </w:p>
    <w:p>
      <w:r>
        <w:t>Au vu de ce qui précède, en particulier de la situation financière des parties et du fait que la mère assume l'essentiel de la prise en charge de l'enfant de 5 ans, il se justifie, sur le principe, de mettre l'ensemble des coûts de ce dernier à la charge de l'appelant. Toutefois, compte tenu du fait que la mère n'a pas fait appel et qu'il n'est pas contesté que l'appelant fait l'objet de dettes de plus de 20'000 fr. contractées pour la famille durant le mariage, il sera renoncé au partage de l'excédent et l'appelant sera condamné à verser une contribution à l'entretien de D______ de 700 fr. par mois du 1 er septembre 2020 au 31 décembre 2025, puis de 900 fr. dès le 1 er janvier 2026 au 30 juin 2028. Dès cette date, la contribution sera fixée à 700 fr., les éventuelles charges supplémentaires de l'enfant devenant adolescent pouvant être assumées par la mère - dont la situation financière devrait s'être améliorée et qui assurera une prise en charge en nature de moins en moins importante - et couvertes en tout ou partie par l'augmentation des allocations familiales dès l'âge de 16 ans. Le chiffre 10 du dispositif du jugement entrepris sera, ainsi, annulé et l'appelant condamné dans le sens qui précède.</w:t>
      </w:r>
    </w:p>
    <w:p>
      <w:r>
        <w:rPr>
          <w:b/>
        </w:rPr>
        <w:t>E. 4</w:t>
      </w:r>
    </w:p>
    <w:p>
      <w:r>
        <w:t>L'appelant conteste le partage par moitié de ses avoirs de prévoyance professionnelle opéré par le Tribunal. Il relève la courte vie commune et le comportement de l'intimée, qui se serait mariée avec lui dans le seul but de quitter la Tunisie, qui lui aurait soutiré de l'argent, qui l'aurait fait s'endetter (l'appelant faisant référence aux frais élevés du mariage et des voyages familiaux), qui l'insulterait et qui le considérerait comme son esclave. L'intimée soutient qu'il n'existe aucun motif justifiant la renonciation ou la réduction du partage des avoirs de prévoyance professionnelle. Quand bien même la vie commune avait été de courte durée, un enfant - dont elle s'occupe - était issu leur union, ce qui a influencé sa situation sur le long terme. Enfin, des messages injurieux ont été échangés par les deux parties.</w:t>
      </w:r>
    </w:p>
    <w:p>
      <w:r>
        <w:rPr>
          <w:b/>
        </w:rPr>
        <w:t>E. 4.1</w:t>
      </w:r>
    </w:p>
    <w:p>
      <w:r>
        <w:t>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 cit.). 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d'entretien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 cit.). Outre les motifs tenant à la liquidation du régime matrimonial ou à la situation économique des époux après le divorce, le juge peut également refuser le partage lorsque, dans un cas concret et en présence d'un état de fait comparable à celui décrit à l'art. 123 al. 2 aCC (correspondant à l'art. 124b al. 2 CC actuel), le partage constituerait un abus de droit (art. 2 al. 2 CC). Cette dernière circonstance ne doit être appliquée qu'avec une grande réserve (ATF 136 III 449 consid. 4.5.1; 133 III 497 consid. 4.3 ss; arrêt du Tribunal fédéral 5A_945/2016 du 19 mai 2017 consid. 3.1.2 et les réf. cit.). Le Tribunal fédéral a ainsi considéré que le fait d'exiger le partage constituait un abus de droit lorsque l'on était en présence d'un mariage de complaisance, lorsque l'union n'avait pas été vécue en tant que telle, respectivement que les époux n'avaient jamais fait ménage commun, car il s'agissait dans ces différents cas d'un détournement du but du partage. En revanche, un comportement contraire au mariage, ainsi que les motifs qui ont conduit au divorce ne suffisent (généralement) pas pour retenir un abus de droit (ATF 136 III 449 consid. 4.5.2; 133 III 497 consid. 4.4 et 4.5; arrêt du Tribunal fédéral 5A_945/2016 du 19 mai 2017 consid. 3.1.2 et les réf. cit.).</w:t>
      </w:r>
    </w:p>
    <w:p>
      <w:r>
        <w:rPr>
          <w:b/>
        </w:rPr>
        <w:t>E. 4.2</w:t>
      </w:r>
    </w:p>
    <w:p>
      <w:r>
        <w:t>En l'occurrence, l'intimée ne détient aucun avoir de prévoyance professionnelle. Les parties - âgées respectivement de 46 et 40 ans - disposent toutes deux de la faculté de cotiser. Contrairement à ce qu'allègue l'appelant, rien ne permet de retenir que le mariage aurait été contracté par l'intimée par complaisance ou par pur intérêt financier - d'autant qu'un enfant est issu de l'union des parties, dont la prise en charge est assurée par la mère - ou encore que cette dernière aurait soutiré de l'argent à l'appelant. Les parties ont réciproquement tenu des propos injurieux. Enfin, le fait que la vie commune ait été de courte durée n'est à lui seul pas déterminant. Au vu de tous ces éléments, il convient de retenir qu'il n'existe aucun motif pour renoncer au partage par moitié des avoirs de prévoyance professionnelle de l'appelant en faveur de l'intimée. Partant, les chiffres 13 et 14 seront confirmés.</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 Dès lors queni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w:t>
      </w:r>
    </w:p>
    <w:p>
      <w:r>
        <w:rPr>
          <w:b/>
        </w:rPr>
        <w:t>E. 5.2</w:t>
      </w:r>
    </w:p>
    <w:p>
      <w:r>
        <w:t>Les frais judiciaires de la procédure d'appel sont fixés à 1'000 fr. (art. 30 et 35 RTFMC), couverts par l'avance de frais opérée par l'appelant de 1'000 fr. Pour des motifs d'équité liés à la nature et à l'issue du litige, ils seront répartis à parts égales entre les parties (art. 95, 104 al. 1, 105, 106 al. 1 et 107 al. 1 let. c CPC). Dans la mesure où l'intimée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Les Services financiers du Pouvoir judiciaire seront, par conséquent, invités à restituer la somme de 500 fr. à l'appelant, le solde de son avance de frais étant acquise à l'Etat (art. 111 al. 1 CPC). Pour les mêmes motifs, chaque partie supportera ses propres dépens d'appel (art. 107 al. 1 let. c CPC). * * * * * PAR CES MOTIFS, La Chambre civile : A la forme : Déclare recevable l'appel interjeté le 31 août 2020 par A______ contre les chiffres 10, 13 et 14 du dispositif du jugement JTPI/9817/2020 rendu le 17 août 2020 par le Tribunal de première instance dans la cause C/26847/2019-20. Au fond : Annule le chiffre 10 du dispositif du jugement entrepris. Cela fait et statuant à nouveau sur ce point : Dit que l'entretien convenable de D______, allocations familiales non déduites, s'élève à 1'055 fr. entre le 1 er septembre 2020 et le 31 décembre 2025, à 1'255 fr. entre le 1 er janvier 2026 et le 30 juin 2028, puis à 985 fr. dès le 1 er juillet 2028. Condamne A______ à verser en mains de B______, par mois et d'avance, allocations familiales non comprises, une contribution mensuelle à l'entretien de D______ de 700 fr. entre le 1 er septembre 2020 et le 31 décembre 2025, de 900 fr. entre le 1 er janvier 2026 et le 30 juin 2028, puis de 700 fr. dès le 1 er juillet 2028 et jusqu'à sa majorité, voire au-delà en cas de poursuite suivie et régulière d'études ou d'une formation professionnelle. Confirme le jugement entrepris pour le surplus. Déboute les parties de toutes autres conclusions. Sur les frais : Arrête les frais judiciaires d'appel à 1'000 fr. et les met à la charge des parties par moitié chacune. Dit que les frais à la charge de B______ sont provisoirement supportés par l'Etat de Genève, vu l'octroi de l'assistance judiciaire. Invite les Services financiers du Pouvoir judiciaire à restituer la somme de 500 fr. à A______. Dit que le solde de l'avance de frais de 500 fr. opérée par A______ demeure acquise à l'Etat de Genève.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