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C/26840/2017 vom 9. November 2018</w:t>
      </w:r>
    </w:p>
    <w:p>
      <w:r>
        <w:t>GE Cour de justice, 2018-11-09, FR</w:t>
      </w:r>
    </w:p>
    <w:p>
      <w:r>
        <w:rPr>
          <w:b/>
        </w:rPr>
        <w:t xml:space="preserve">Quelle: </w:t>
      </w:r>
      <w:r>
        <w:t>https://mcp.opencaselaw.ch/entscheid/ge_gerichte_C_26840_2017</w:t>
      </w:r>
    </w:p>
    <w:p>
      <w:r>
        <w:t>FR: GE_GERICHTE C/26840/2017 du 9 novembre 2018</w:t>
      </w:r>
    </w:p>
    <w:p>
      <w:r>
        <w:t>IT: GE_GERICHTE C/26840/2017 del 9 novembre 2018</w:t>
      </w:r>
    </w:p>
    <w:p>
      <w:pPr>
        <w:pStyle w:val="Heading2"/>
      </w:pPr>
      <w:r>
        <w:t>Regeste</w:t>
      </w:r>
    </w:p>
    <w:p>
      <w:r>
        <w:t>ATTRIBUTION DE L'EFFET SUSPENSIF ; OBLIGATION D'ENTRETIEN | CPC.315</w:t>
      </w:r>
    </w:p>
    <w:p>
      <w:pPr>
        <w:pStyle w:val="Heading2"/>
      </w:pPr>
      <w:r>
        <w:t>Erwägungen</w:t>
      </w:r>
    </w:p>
    <w:p>
      <w:r>
        <w:rPr>
          <w:b/>
        </w:rPr>
        <w:t>E. 28</w:t>
      </w:r>
    </w:p>
    <w:p>
      <w:r>
        <w:t>août 2015 consid. 5); Qu'en l'espèce, le dépôt de la requête d'effet suspensif après l'échéance du délai d'appel n'est pas de nature à entraîner son irrecevabilité dans la mesure où il s'agit d'une requête de mesures provisionnelles, qui peut être formée en tout temps; Que le paiement de l'arriéré représente un montant non négligeable au vu de la situation financière de l'appelante; que lesdits arriérés sont destinés à couvrir les besoins de l'appelant pour une période échue; que dans l'hypothèse où l'appelante obtenait gain de cause, le recouvrement de cet arriéré pourrait s'avérer difficile compte tenu de la situation personnelle et financière de l'intimé; que la requête d'effet suspensif sera dès lors admise en tant qu'elle porte sur le paiement des arriérés de contributions d'entretien; Que pour les contributions d'entretien courantes, il y a lieu de tenir compte du fait que l'intimé est, en l'état, sans revenus et donc sans possibilité d'assurer ses besoins essentiels; que l'appelante ne soutient pas que le paiement de la contribution d'entretien entamerait son minimum vital; qu'il ne peut être considéré, prima facie , que l'appel est d'emblée manifestement bien fondé; que la requête d'effet suspensif sera dès lors rejetée en tant qu'elle porte sur le paiement des contributions d'entretien courantes; Qu'il ne saurait être imposé à l'intimé de verser des sûretés dans la mesure où les contributions d'entretien litigieuses sont destinées à lui permettre d'assurer le paiement de ses charges incompressibles telles que calculées par le Tribunal; Qu'en définitive, l'effet suspensif sera donc accordé concernant le paiement des contributions d'entretien pour la période du 1 er décembre 2017 au 9 novembre 2018, date du jugement attaqué; qu'elle sera rejetée pour le surplus; Qu'il sera statué sur les frais et dépens liés à la présente décision avec la décision au fond (art. 104 al. 3 CPC). * * * * * PAR CES MOTIFS, La Chambre civile : Statuant sur requête de suspension du caractère exécutoire de l'ordonnance entreprise : Admet la requête formée par A______ tendant à suspendre le caractère exécutoire du ch. 1 du dispositif de l'ordonnance OTPI/677/2018 rendue le 9 novembre 2018 par le Tribunal de première instance dans la cause C/26840/2017-1 en tant qu'il porte sur la période du 1 er décembre 2017 au 9 novembre 2018. La rejette pour le surplus. Dit qu'il sera statué sur les frais liés à la présente décision dans l'arrêt rendu sur le fond. Siégeant : Monsieur Laurent RIEBEN, président; Madame Sophie MARTINEZ, greffière. Le président : Laurent RIEBEN La greffière : Sophie MARTINEZ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