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C/26705/2020 vom 11. März 2022</w:t>
      </w:r>
    </w:p>
    <w:p>
      <w:r>
        <w:t>GE Cour de justice, 2022-03-11, FR</w:t>
      </w:r>
    </w:p>
    <w:p>
      <w:r>
        <w:rPr>
          <w:b/>
        </w:rPr>
        <w:t xml:space="preserve">Quelle: </w:t>
      </w:r>
      <w:r>
        <w:t>https://mcp.opencaselaw.ch/entscheid/ge_gerichte_C_26705_2020</w:t>
      </w:r>
    </w:p>
    <w:p>
      <w:r>
        <w:t>FR: GE_GERICHTE C/26705/2020 du 11 mars 2022</w:t>
      </w:r>
    </w:p>
    <w:p>
      <w:r>
        <w:t>IT: GE_GERICHTE C/26705/2020 del 11 marzo 2022</w:t>
      </w:r>
    </w:p>
    <w:p>
      <w:pPr>
        <w:pStyle w:val="Heading2"/>
      </w:pPr>
      <w:r>
        <w:t>Volltext</w:t>
      </w:r>
    </w:p>
    <w:p>
      <w:r>
        <w:t>Genf Cour de Justice (Cour civile) Chambre civile 11.03.2022 C/26705/2020 Genève Cour de Justice (Cour civile) Chambre civile 11.03.2022 C/26705/2020 Ginevra Cour de Justice (Cour civile) Chambre civile 11.03.2022 C/26705/2020</w:t>
      </w:r>
    </w:p>
    <w:p>
      <w:r>
        <w:t>C/26705/2020 ACJC/348/2022 du 11.03.2022 sur JTPI/14520/2021 ( OS ) , MODIFIE En fait En droit Par ces motifs RÉPUBLIQUE ET CANTON DE GENÈVE POUVOIR JUDICIAIRE C/26705/2020 ACJC/348/2022 ARRÊT DE LA COUR DE JUSTICE Chambre civile DU VENDREDI 11 MARS 2022 Entre Le mineur A ______ , représenté par sa mère B______, ______ [GE], appelant d'un jugement rendu par la 8ème Chambre du Tribunal de première instance de ce canton le 16 novembre 2021, comparant par Me Mattia DEBERTI, avocat, NOMEA AVOCATS SA, avenue de la Roseraie 76A, 1205 Genève, en l'Étude duquel il fait élection de domicile, et Monsieur C ______ , domicilié ______, FRANCE, intimé, comparant en personne. EN FAIT A. Par jugement JTPI/14520/2021 rendu le 16 novembre 2021, notifié à A______ le 19 novembre 2021, le Tribunal de première instance (ci-après : le Tribunal) a, statuant par voie de procédure simplifiée, condamné C______ à verser en mains de B______, par mois et d'avance, allocations familiales non comprises, 120 fr. à titre de contribution à l'entretien de l'enfant A______, ce dès le 14 juillet 2020 (chiffre 1 du dispositif du jugement entrepris), fixé l'entretien convenable de l'enfant à 1'085 fr. 70 [ par mois ], allocations familiales non déduites (ch. 2), arrêté les frais judiciaires à 900 fr., mis à charge des parties par moitié chacune, laissé la part du mineur A______ à la charge de l'Etat de Genève, sous réserve du devoir de remboursement lié à l'assistance judiciaire, condamné C______ à verser un montant de 450 fr. aux Services financiers du Pouvoir judiciaire (ch. 3), dit qu'il n'était pas alloué de dépens (ch. 4) et débouté les parties de toutes autres conclusions (ch. 5). B. a. Par acte déposé au greffe de la Cour de justice (ci-après : la Cour) le 14 décembre 2021, l'enfant A______, agissant par l'entremise de sa mère B______, a formé appel de ce jugement. Il a conclu à l'annulation du ch. 1 du dispositif du jugement entrepris, cela fait à ce que la Cour condamne C______ à verser en mains de sa mère 785 fr. 70, par mois et d'avance, allocations familiales non comprises, à titre de contribution à son entretien, ce dès le 1 er décembre 2019, sous suite de frais judiciaires et dépens. Il a produit des pièces nouvelles. b. L'acte d'appel a été communiqué à C______ par courrier recommandé distribué le 8 janvier 2022. Son attention a été attirée sur le délai pour répondre de 30 jours dès réception. C______ a déposé sa réponse au greffe de la Cour le 22 février 2022. c. La réponse a été transmise à A______ par avis du 22 février 2022, à la même occasion la Cour a informé les parties de ce que la cause était gardée à juger. C. Les faits pertinents suivants résultent du dossier : a. B______, née le ______ 1981, et C______, né le ______ 1978, ressortissants portugais, sont les parents non mariés de A______, né le ______ 2015. b. B______ est également la mère des jumelles E______ et D______, nées le ______ 2020 d'une autre relation. c. Par ordonnance du 3 octobre 2019, le Tribunal de protection de l'adulte et de l'enfant (TPAE) a, notamment, accordé à C______ un droit de visite sur son fils A______, devant s'exercer en l'état à raison d'une demi-journée à quinzaine, avec passage de l'enfant par l'intermédiaire du Point Rencontre, voire, dans la mesure du possible et dans un premier temps, [du centre de consultations familiales] G______. La curatelle d'organisation et de surveillance des relations personnelles a été maintenue entre le mineur et son père. Les parents ont par ailleurs été exhortés à entreprendre un travail de coparentalité et il a été donné acte à C______ de la poursuite de ses suivis médicaux et thérapeutiques. d. Par demande déposée aux fins de conciliation le 23 décembre 2020, non conciliée le 14 avril 2021 et introduite le 14 juillet 2021, B______, agissant en qualité de représentante légale du mineur A______, a conclu à la condamnation de C______ à verser en ses mains, par mois et d'avance, allocations familiales non comprises, une contribution à l'entretien de l'enfant A______, dont le montant serait fixé par le juge en fonction de la situation financière des parties, avec effet rétroactif au 1 er décembre 2019. e. Par courrier du 21 septembre 2021, C______ a informé le Tribunal qu'il ne serait pas présent à l'audience appointée le 27 septembre 2021, car il estimait que les tribunaux français étaient compétents pour juger du litige. S'agissant de sa situation personnelle, il a formulé plusieurs allégués, confus, en lien avec sa santé et les interventions antérieures des autorités suisses et françaises. f. Lors de l'audience de débats d'instruction du 27 septembre 2021, C______ n'a pas comparu. Le mineur a persisté dans ses conclusions. g. Par courrier du 9 octobre 2021, C______ a indiqué qu'il ne se rendrait pas à l'audience fixée le 12 octobre 2021, les tribunaux français étant " plus compétents " pour juger de l'affaire. h. Lors de l'audience de comparution personnelle du 12 octobre 2021, C______ ne s'est, à nouveau, pas déplacé. Le mineur a persisté dans sa requête. A l'issue de l'audience, le Tribunal a gardé la cause à juger. i. La situation financière et personnelle des parties est la suivante : i.a Le Tribunal de première instance a retenu que B______, exerçant la profession de serveuse, avait perçu des revenus oscillant entre 3'000 fr. et 4'300 fr. par mois, selon les périodes et compte tenu de son congé maternité entre fin 2019 et 2020 et d'un arrêt maladie subi à fin 2020. En dernier lieu, elle avait réalisé un revenu net à plein temps de 4'283 fr. 30 par mois en tant que gérante dans la restauration. Elle vit avec ses enfants A______, E______ et D______, dans un appartement de 3 pièces et demie à H______ [GE], dont le loyer se monte à 1'665 fr. par mois. Ses charges mensuelles incompressibles ont été arrêtées aux montants suivants par le Tribunal : montant de base LP (1'350 fr.), loyer (1'165 fr. 50, soit 70% de 1'665 fr.), assurance maladie obligatoire et complémentaire (523 fr. 75 et 15 fr. 80), moitié du montant de base LP des enfants E______ et D______ (400 fr.), soit un total de 3'455 fr. 05. Ces montants ne sont pas remis en cause en appel. i.b. C______ n'a pas renseigné le Tribunal sur sa situation financière. Son lieu de domicile se trouve à 30 minutes en voiture du centre de Genève. Selon les déclarations de B______, il travaillerait en qualité de vendeur automobile à F______ (France). En l'absence d'informations, le Tribunal a estimé, sans davantage de motivation, son revenu net à 1'800 EUR par mois, soit environ 1'929 fr. (taux de change EUR/CHF 1.07178 le 18 octobre 2021) et ses charges mensuelles incompressibles aux montants suivants : montant de base 1'020 fr. (soit le montant de base LP de 1'200 fr. pour un débiteur vivant seul réduit de 15% vu le domicile du défendeur en France voisine) et frais de logement en 800 fr. (estimation), soit 1'820 fr. au total. En appel, A______ soutient que le revenu de C______ aurait dû être fixé à quelque 2'300 EUR ou 2'500 fr. par mois. Il se réfère à des statistiques disponibles sur Internet, dont le caractère officiel ne ressort pas de l'extrait Internet produit, ainsi qu'à des statistiques de l'Institut national français de la statistique et des études économiques (INSEE), selon lequel un vendeur de voitures non cadre est en mesure de réaliser un salaire horaire de 14.70 EUR net à F______, comprenant les primes. S'agissant des charges, A______ estime que le loyer de C______ devrait être limité à 560 EUR ou 600 fr. par mois pour un logement de 35 m2 " adapté à une personne vivant seule ". i.c. Les charges mensuelles de l'enfant A______ ont été arrêtées par le Tribunal aux montants suivants : montant de base LP (400 fr.), part au loyer (166 fr. 50, soit 10% de 1'665 fr.), assurance maladie obligatoire et complémentaire (132 fr. 95 et 41 fr. 25), cuisines scolaires (108 fr.), parascolaire (192 fr.) et transport (45 fr.), soit un total de 1'085 fr. 70. Des allocations familiales en 300 fr. sont perçues pour l'enfant. Ces montants ne sont pas remis en cause en appel. i.d. C______ n'a jamais contribué à l'entretien de l'enfant. D. Dans le jugement entrepris, le Tribunal a tenu compte du défaut de collaboration de C______ pour fixer les montants susévoqués au titre de ses revenus et charges. Dès lors que B______ s'occupait principalement de l'enfant en lui apportant soin et éducation, C______ devait prendre en charge l'entretien financier. Il a donc été condamné à verser 120 fr. par mois, correspondant à son disponible mensuel, pour l'entretien de l'enfant, ce dès le 14 juillet 2020 soit un an avant le dépôt de la demande en aliments. EN DROIT 1. 1.1 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 1.2 1.2.1 Aux termes de l'art. 312 al. 2 CPC, le délai pour le dépôt de la réponse est de trente jours.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141 III 554 consid. 2; arrêt du Tribunal fédéral 5A_37/2017 du 10 juillet 2017 consid. 3.1.2 et les références). 1.2.2 L'intimé a répondu plus de 30 jours après que l'appel lui a été notifié. Son écriture est donc irrecevable, de même que les pièces qui l'accompagnent. Il sera procédé sans tenir compte de ce défaut. 1.3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5A_89/2014 du 15 avril 2011 consid. 5.3.2). 1.4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et la référence citée).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5A_808/2012 du 29 août 2013 consid. 4.3.2). Lorsque, contrairement à ce qu'on serait en droit d'attendre d'elle, une partie refuse de collaborer à l'administration des preuves, celle-ci peut être close. Même lorsque la maxime inquisitoire s'applique, le juge peut apprécier les preuves en défaveur de la partie qui viole son devoir de renseigner (art. 170 CC; arrêt du Tribunal fédéral 5A_562/2011 du 21 février 2012 consid. 7.5). Le juge se prononce donc sur le résultat de la collaboration d'un époux dans le cadre de l'appréciation des preuves disponibles (arrêt du Tribunal fédéral 5A_762/2013 du 27 mars 2014 consid. 4.1). 1.5 Lorsque la procédure est soumise à la maxime inquisitoire illimitée, les parties peuvent présenter des faits nouveaux en appel même si les conditions de l'art. 317 al. 1 CPC ne sont pas réunies (ATF 144 III 349 consid. 4.2.1). En l'espèce, les allégués nouveaux de l'appelant et les pièces nouvelles qu'il a produites sont recevables en appel. 1.6 L'intimé étant domicilié en France, le litige présente un élément d'extranéité. Compte tenu du domicile genevois de l'appelant, la Cour est compétente pour connaître du litige (art. 79 al. 1 LDIP) et le droit suisse est applicable (art. 83 al. 1 LDIP; art. 4 de la Convention de La Haye du 2 octobre 1973 sur la loi applicable aux obligations alimentaires). 2. L'appelant remet en cause le montant que l'intimé a été condamné à lui verser pour son entretien, qu'il estime insuffisant. Il conteste en outre le dies a quo qui a été fixé par le premier juge pour le versement de l'entretien. 2.1 2.1.1 A teneur de l'art. 276 al. 1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 Les contributions pécuniaires peuvent être réclamées pour l'avenir et pour l'année qui précède l'introduction de la requête (art. 279 al. 1 CC),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 L'introduction de la requête coïncide avec la litispendance, qui est créée par l'introduction de la requête en conciliation, lorsque, comme c'est le cas en l'espèce, la procédure devant le Tribunal est précédée par une procédure de conciliation (arrêt du Tribunal fédéral 5A_184/2015 du 22 janvier 2016 consid. 4.3). 2.1.2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 er novembre 2018 consid. 3.1.3). 2.1.3 Pour calculer la contribution d'entretien, il convient en principe de se fonder sur le revenu effectif des parties (ATF 143 III 233 consid. 3.2; arrêt du Tribunal fédéral 5A_724/2018 du 14 mars 2019 consid. 3.2.4).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5A_461/2019 et 5A_104/2017 précités, ibidem).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arrêts du Tribunal fédéral 5A_461/2019 et 5A_104/2017 précités, ibidem ).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2.1.4 Conformément à la jurisprudence et à la doctrine, le minimum vital du débiteur doit être établi en fonction du niveau de vie de son lieu de domicile à l'étranger (ATF 91 III 81 consid. 3; arrêts du Tribunal fédéral 5A_919/2012 du 11 février 2013 consid. 4.4 et 5A_904/2019 du 15 juin 2020 consid. 2.6.3 et les références citées). Dans la pratique, la différence de niveau de vie dans les différents pays est établie en se basant sur les statistiques établissant la parité des prix à la consommation, respectivement comparant le pouvoir d'achat à l'échelle internationale. Il s'agit dans ce cadre d'appliquer les rapports établis par les grandes banques ou les données de l'Office fédéral de la statistique, résultant des enquêtes menées par EUROSTAT, en collaboration avec l'OCDE et l'ONU (arrêts du Tribunal fédéral 5C_6/2002 du 11 juin 2002 consid 3a non publié in ATF 128 III 257 ; 5A_384/2007 du 3 octobre 2007 consid. 4.1; 5A_904/2019 du 15 juin 2020 consid. 2.6.3). 2.2 En l'espèce, l'appelant reproche en premier lieu à l'autorité précédente d'avoir mal apprécié la capacité de gain et les charges de l'intimé. En effet, le Tribunal a fixé, en équité et sans motivation, les revenus de l'intimé à un peu moins de 2'000 fr. L'appelant apporte des éléments concrets permettant de retenir que l'intimé serait plutôt en mesure de réaliser un revenu mensuel moyen de l'ordre de 2'500 fr. (correspondant à 14.70 EUR par heure pour un équivalent à plein temps au taux de change de EUR/CHF 1.07178 retenu par le premier juge). Cette approche est corroborée par la proximité de la résidence de l'intimé avec le territoire suisse, qui lui permettrait de trouver un emploi sur le territoire suisse en qualité de frontalier et conformément à son obligation de maximiser sa capacité de gain. Or, selon les statistiques fédérales de Salarium, un vendeur d'automobiles, sans formation particulière, travaillant à plein temps, sans ancienneté dans l'entreprise, de l'âge de l'intimé est en mesure de réaliser un revenu mensuel brut de plus de 5'000 fr. en tant que frontalier. Compte tenu des différences de charges impliquées par une activité de frontalier résidant en France et travaillant en Suisse (frais de déplacement, assurance maladie, etc.), il se justifie toutefois de se limiter au montant de 2'500 fr. net par mois de revenu allégué par l'appelant, et qui doit être retenu, au vu des preuves disponibles, comme le revenu réalisé actuellement par l'intimé et qui lui est imputable. La Cour s'écartera donc du montant retenu par le Tribunal au titre de revenus de l'intimé. S'agissant par contre des charges, le raisonnement de l'appelant ne peut pas être suivi, car un logement de taille réduite pour une personne seule ne répond pas à la nécessité pour l'intimé de disposer d'un logement suffisamment spacieux pour accueillir son fils lors de l'exercice de son droit de visite. De surcroît, le montant retenu par le Tribunal, soit 800 fr. par mois, n'est pas excessif pour un loyer de ce type. Il s'ensuit qu'il sera retenu que l'intimé dispose d'un disponible mensuel de 680 fr. (2'500 fr. - 1'820 fr.) qu'il devra affecter entièrement à l'entretien de son fils mineur. Ce résultat est opposable à l'intimé, qui a sciemment et sans motif valable refusé de participer à la procédure. Il doit donc supporter les conséquences de son attitude, alors qu'il lui aurait été aisé de démontrer ses revenus et charges effectifs. Ni la répartition de l'entretien - la mère se chargeant de celui-ci par les soins quotidiens et le père couvrant les besoins financiers -, ni la situation financière de la mère ou de l'enfant ne sont remises en cause, de sorte qu'il n'y a pas lieu de revenir sur ces points. Ainsi, l'intimé sera condamné à verser 680 fr. par mois à la mère de l'appelant pour l'entretien de celui-ci. 2.3 L'appelant reproche ensuite au Tribunal d'avoir erré dans la fixation du dies a quo des contributions d'entretien devant être payées par l'intimé. En effet, le Tribunal a, pour déterminer le délai d'une année fixé par l'art. 279 al. 1 CC, retenu la date d'introduction de la demande en aliments devant lui, soit le 14 juillet 2021, sans tenir compte de la procédure de conciliation intervenue précédemment. Cette solution est erronée. Il s'agit de se fonder sur la date d'introduction de la demande de conciliation, soit le 23 décembre 2020, l'entretien pouvant être réclamé pour l'année précédente soit dès le 23 décembre 2019. Le jugement entrepris sera donc réformé sur ce point encore. 3. 3.1 Lorsque la Cour statue à nouveau, elle se prononce sur les frais fixés par le Tribunal de première instance (art. 318 al. 3 CPC). Les frais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Les parties ne critiquent ni la quotité ni la répartition des frais de première instance, laquelle apparaît au demeurant conforme au règlement fixant le tarif des frais en matière civile (art. 13 et 32 RTFMC). Par conséquent, les ch. 3 et 4 du dispositif du jugement entrepris seront confirmés. 3.2 Les frais judiciaires d'appel seront arrêtés à 1'000 fr. (art. 32 et 35 RTFMC). Compte tenu de la nature du litige, ils seront répartis à parts égales entre les parties (art. 106 al. 2 et 107 al. 1 let. c CPC). La part de 500 fr. à charge de l'appelant sera provisoirement supportée par l'Etat, dans la mesure où il plaide au bénéfice de l'assistance judiciaire (art. 122 al. 1 let. b CPC). L'intimé sera quant à lui condamné à verser 500 fr. à l'Etat de Genève, soit pour lui les Services financiers du Pouvoir judiciaire. Pour le surplus, chaque partie supportera ses propres dépens d'appel (art. 107 al. 1 let. c CPC). * * * * * PAR CES MOTIFS, La Chambre civile : A la forme : Déclare recevable l'appel interjeté par A______ le 14 décembre 2021 contre le jugement JTPI/14520/2021 rendu le 16 novembre 2021 par le Tribunal de première instance dans la cause C/26705/2020-1. Au fond : Annule le chiffre 1 du dispositif du jugement entrepris, cela fait, statuant à nouveau : Condamne C______ à verser à B______, par mois et d'avance, allocations familiales non comprises, 680 fr. à titre de contribution à l'entretien de l'enfant A______, né le ______ 2015 à Genève, ce dès le 23 décembre 2019. Confirme pour le surplus le jugement entrepris. Déboute les parties de toutes autres conclusions. Sur les frais : Arrête les frais judiciaires d'appel à 1'000 fr. et les met à charge des parties à raison d'une moitié chacune. Dit que la part de 500 fr. à la charge de A______ est provisoirement supportée par l'Etat de Genève. Condamne C______ à verser 500 fr. à l'Etat de Genève, soit pour lui les Services financiers du Pouvoir judiciaire, à titre de frais judiciaires d'appel. Dit qu'il n'est pas alloué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