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C/26521/2020 vom 30. Dezember 2020</w:t>
      </w:r>
    </w:p>
    <w:p>
      <w:r>
        <w:t>GE Cour de justice, 2020-12-30, FR</w:t>
      </w:r>
    </w:p>
    <w:p>
      <w:r>
        <w:rPr>
          <w:b/>
        </w:rPr>
        <w:t xml:space="preserve">Quelle: </w:t>
      </w:r>
      <w:r>
        <w:t>https://mcp.opencaselaw.ch/entscheid/ge_gerichte_C_26521_2020</w:t>
      </w:r>
    </w:p>
    <w:p>
      <w:r>
        <w:t>FR: GE_GERICHTE C/26521/2020 du 30 décembre 2020</w:t>
      </w:r>
    </w:p>
    <w:p>
      <w:r>
        <w:t>IT: GE_GERICHTE C/26521/2020 del 30 dicembre 2020</w:t>
      </w:r>
    </w:p>
    <w:p>
      <w:pPr>
        <w:pStyle w:val="Heading2"/>
      </w:pPr>
      <w:r>
        <w:t>Regeste</w:t>
      </w:r>
    </w:p>
    <w:p>
      <w:r>
        <w:t>CPC.265.al1</w:t>
      </w:r>
    </w:p>
    <w:p>
      <w:pPr>
        <w:pStyle w:val="Heading2"/>
      </w:pPr>
      <w:r>
        <w:t>Erwägungen</w:t>
      </w:r>
    </w:p>
    <w:p>
      <w:r>
        <w:rPr>
          <w:b/>
        </w:rPr>
        <w:t>E. 20</w:t>
      </w:r>
    </w:p>
    <w:p>
      <w:r>
        <w:t>novembre 2020, date à laquelle leur conseil a reproché à la citée de se livrer à une activité concurrentielle, n'ont agi qu'un mois plus tard; Qu'il convient enfin de souligner que, compte tenu du caractère peu concret des conclusions prises sur mesures superprovisionnelles, lesquelles évoquent l'interdiction d'activités concurrentes sans préciser lesquelles seraient visées ainsi qu'un secteur géographique d'activité non déterminable (le but social de A______ indiquant "en Suisse et à l'étranger" ), le prononcé de ces mesures serait de nature à limiter considérablement les activités de la citée, elle-même active dans le secteur informatique; Que, les conditions de l'octroi de mesures superprovisionnelles n'étant ainsi pas réunies, la requête sera rejetée; Que, conformément à l'art. 265 al. 2 CPC, un délai - tenant compte de la période des fêtes - sera imparti aux cités pour se prononcer par écrit sur la requête de mesures provisionnelles; Que les frais du présent arrêt suivront le sort de la procédure provisionnelle. * * * * * PAR CES MOTIFS, La Chambre civile : Statuant sur mesures superprovisonnelles : Rejette la requête de mesures superprovisionnelles formée le 23 décembre 2020 par A______, B______, C______ et E______ à l'encontre de F______. Impartit à F______ un délai de 15 jours dès réception du présent arrêt pour répondre par écrit à la requête de mesures provisionnelles et produire leurs pièces. Dit que les frais du présent arrêt suivent le sort de la procédure provisionnelle. Siégeant : Monsieur Patrick CHENAUX, président ad interim ; Madame Catherine GAVIN, Monsieur Jean REYMOND, juges; Madame Mélanie DE RESENDE PEREIRA, greffière. Le président ad interim : Patrick CHENAUX La greffière : Mélanie DE RESENDE PEREIRA S'agissant de mesures superprovisionnelles, il n'y a pas de voie de recours au Tribunal fédéral (ATF 137 III 417 consid. 1.3; arrêt du Tribunal fédéral 5A_37/2013 du 1 er février 2013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