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C/26230/2017 vom 2. September 2019</w:t>
      </w:r>
    </w:p>
    <w:p>
      <w:r>
        <w:t>GE Cour de justice, 2019-09-02, FR</w:t>
      </w:r>
    </w:p>
    <w:p>
      <w:r>
        <w:rPr>
          <w:b/>
        </w:rPr>
        <w:t xml:space="preserve">Quelle: </w:t>
      </w:r>
      <w:r>
        <w:t>https://mcp.opencaselaw.ch/entscheid/ge_gerichte_C_26230_2017</w:t>
      </w:r>
    </w:p>
    <w:p>
      <w:r>
        <w:t>FR: GE_GERICHTE C/26230/2017 du 2 septembre 2019</w:t>
      </w:r>
    </w:p>
    <w:p>
      <w:r>
        <w:t>IT: GE_GERICHTE C/26230/2017 del 2 settembre 2019</w:t>
      </w:r>
    </w:p>
    <w:p>
      <w:pPr>
        <w:pStyle w:val="Heading2"/>
      </w:pPr>
      <w:r>
        <w:t>Regeste</w:t>
      </w:r>
    </w:p>
    <w:p>
      <w:r>
        <w:t>CPC.197; CPC.227.al1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En l'occurrence, les sous-locataires ont notamment conclu au paiement de 109'790 fr. à titre de remboursement des sous-loyers selon eux perçus abusivement.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En l'espèce, l'appel déposé le 30 juillet 2018 a été interjeté dans le délai et suivant la forme prescrits par la loi (art. 130, 131, 311 al. 1 CPC). Il est ainsi recevable sous cet angle.</w:t>
      </w:r>
    </w:p>
    <w:p>
      <w:r>
        <w:rPr>
          <w:b/>
        </w:rPr>
        <w:t>E. 2</w:t>
      </w:r>
    </w:p>
    <w:p>
      <w:r>
        <w:t>Les appelants reprochent au Tribunal d'avoir déclaré irrecevables leurs conclusions des 5 et 27 février 2018, qui n'avaient pas été préalablement soumises à la phase de conciliation. En substance, ils soutiennent que les juges de première instance auraient dû admettre leurs prétentions en remboursement d'un prétendu trop-perçu, et en versement de 35'000 fr. à titre de dommages et intérêts, ainsi que leur conclusion relative au constat que les sous-locataires seraient en droit de sous-louer leur arcade en vertu d'une autorisation donnée tacitement, selon eux, par la propriétaire de l'immeuble.</w:t>
      </w:r>
    </w:p>
    <w:p>
      <w:r>
        <w:rPr>
          <w:b/>
        </w:rPr>
        <w:t>E. 2.1</w:t>
      </w:r>
    </w:p>
    <w:p>
      <w:r>
        <w:t>La procédure au fond est précédée d'une tentative de conciliation devant une autorité de conciliation (art. 197 CPC), dont la tâche consiste avant tout à tenter de trouver un accord entre les parties de manière informelle (art. 201 al. 1 CPC). La procédure est introduite par la requête de conciliation, laquelle contient la désignation de la partie adverse, les conclusions et la description de l'objet du litige (art. 202 al. 1 et 2 CPC). Ces deux dernières exigences permettent de circonscrire le litige et d'assurer une certaine prévisibilité au processus de conciliation et à ses éventuelles suites procédurales (arrêt du Tribunal fédéral 5A_588/2015 du 9 février 2016 consid. 4.3.1). Les conclusions de la demande doivent en principe correspondre à celles reproduites dans l'autorisation de procéder (SCHWEIZER, in Code de procédure civile commenté, 2011, n° 12 ad art. 227 CPC). Elles peuvent s'en écarter aux conditions de l'art. 227 CPC (arrêt du Tribunal fédéral 5A_588/2015 du 9 février 2016 consid. 4.3.1; SCHWEIZER, op. cit., n° 13 ad art. 227 CPC ). 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(arrêt du Tribunal fédéral 4A_439/2014 du 16 février 2015 consid. 5.4.3.1; ATF 139 III 126 consid. 3.2.3 et réf.). La litispendance - qui, le cas échéant, intervient lors du dépôt de la requête de conciliation (cf. art. 62 CPC) - fixe l'objet du litige, mais le CPC apporte d'importantes exceptions à ce principe. A certaines conditions qui dépendront du stade du procès, les conclusions peuvent ainsi être modifiées après la création de la litispendance - avec ou sans modification de l'objet du litige - par la production d'une prétention nouvelle ou amplifiée. La réduction des conclusions est toujours possible (HOHL, Procédure civile, tome I, 2ème éd. 2016, n° 458 p. 87, n° 560-562 p. 104). Avant les débats principaux, l'art. 227 al. 1 CPC autorise ainsi la modification de la demande si la prétention nouvelle ou modifiée relève de la même procédure et présente un lien de connexité avec la dernière prétention ou, à défaut d'un tel lien, si la partie adverse consent à la modification de la demande. Un lien de connexité au sens de l'art. 227 al. 1 let. a CPC n'existe pas seulement lorsque la prétention est fondée sur un même contrat ou un même état de fait, mais aussi lorsqu'elle se base sur un même complexe de faits ou un complexe voisin. Il s'agit de procéder à une balance entre l'intérêt du défendeur à ce que sa défense ne soit pas entravée de manière excessive et les motifs d'économie de procédure et de recherche de la vérité matérielle (arrêt du Tribunal fédéral 4A_255/2015 du 1 er octobre 2015 consid. 2.2, RSPC 2016 p. 111).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(arrêt du Tribunal fédéral 5A_16/2016 du 26 mai 2016 consid. 5.1, RSPC 2016 p. 415). La connexité est une notion juridique indéterminée qui recouvre différentes hypothèses, qui fait appel au pouvoir d'appréciation du juge (ATF 134 III 80 consid. 7.1). Si ces conditions ne sont pas réunies, les conclusions différant de celles formulées dans l'autorisation de procéder sont irrecevables, faute d'autorisation valable de procéder, à l'exception de conclusions restreintes, évidemment admissibles (art. 227 al. 3 CPC par analogie) (arrêt du Tribunal fédéral 5A_588/2015 du 9 février 2016 consid. 4.3.1 et 4.3.2).</w:t>
      </w:r>
    </w:p>
    <w:p>
      <w:r>
        <w:rPr>
          <w:b/>
        </w:rPr>
        <w:t>E. 2.2</w:t>
      </w:r>
    </w:p>
    <w:p>
      <w:r>
        <w:t>Observant que les conclusions supplémentaires formulées avec les écritures des appelants du 27 février 2018 n'avaient pas préalablement été soumises à la conciliation, le Tribunal a considéré qu'elles étaient irrecevables. Selon lui, lesdites conclusions ne présentaient pas un lien de connexité suffisant avec les prétentions formulées au stade de la conciliation, ce qui contrevient à l'art. 227 al. 1 CPC. Les premiers juges ont par ailleurs relevé que la conclusion nouvelle n'est pas soumise à la même procédure, puisqu'elle porte sur un montant supérieur à 30'000 fr. Dans leurs écritures d'appel, les appelants ne contestent pas avoir présenté devant le Tribunal une conclusion en paiement qui n'avait pas préalablement été soumise à l'autorité de conciliation. Ils ne prétendent pas davantage que leur conclusion nouvelle du 27 février 2018 présenterait un lien avec leur requête de conciliation déposée les 13 et 20 novembre 2017, dans le sens exigé par la disposition susvisée. A l'examen, les conclusions tendant au versement, en faveur des appelants, de montants prétendument dus par l'intimé, se basent sur un même rapport contractuel, à savoir le contrat de sous-location conclu avec l'intimé, ainsi que sur un complexe de faits unifié. Pour examiner dans le cas d'espèce la réalité du lien de connexité, au sens visé par l'art. 227 al. 1 let. a CPC, il convient toutefois de tenir compte également de l'action ouverte devant l'autorité de conciliation, et en particulier de la nature des conclusions prises durant cette phase, en gardant à l'esprit que, dans le système mis en place par le CPC, le règlement à l'amiable visé par la conciliation doit avoir la priorité sur l'action judiciaire, qui ne doit être que l'ultime moyen de pacifier une situation litigieuse (BOHNET, Commentaire romand, Code de procédure civile, Bâle, 2019, n. 5 ad art. 197 CPC). En l'occurrence, les conclusions initiales soumises par les appelants durant la phase de conciliation visaient en substance à démontrer l'admissibilité, ainsi que le maintien dans le futur, du contrat de sous-location compte tenu d'une prétendue autorisation tacite donnée par la propriétaire de l'immeuble. A l'inverse, les conclusions en paiement formulées pour la première fois devant le Tribunal sont basées sur le caractère prétendument abusif et, partant, éventuellement illicite, de ce même contrat de sous-location. Les prétentions des appelants sont dès lors fondées sur des éléments au moins partiellement contradictoires, selon que lesdites prétentions ont été présentées en conciliation ou uniquement après que l'action a été portée devant le Tribunal. Dans un tel contexte, et au vu de la contradiction (partielle) relevée ici, le préalable de la conciliation n'a pas porté, sur l'ensemble des prétentions des appelants, telles que ceux-ci les ont soumises au Tribunal. L'intimé n'a pas été en mesure de se déterminer de façon satisfaisante, au moment de la tentative de conciliation. Ainsi, bien que l'ensemble des conclusions repose sur un même complexe de faits, le rapport de connexité entre les conclusions soumises à la conciliation et celles formulées plus tard devant le Tribunal n'apparaît pas comme suffisant. Sous cet angle, c'est à juste titre que les premiers juges ont retenu l'irrecevabilité des nouvelles conclusions déposées le 27 février 2018. Il en est de même des conclusions formulées dans la requête déposée les 13 et 20 novembre 2017 auprès de l'autorité de conciliation. En effet, la conclusion visant à l'obtention d'un contrat de bail directement avec la propriétaire de l'immeuble ne pourrait être recevable que dans l'hypothèse où elle serait dirigée contre cette dernière, ce qui n'est pas le cas dans la présente cause. Dans la mesure où la procédure a été déposée contre l'intimé uniquement, cette conclusion est manifestement irrecevable. Ensuite, la prétention visant les conclusions d'accord conclues entre la propriétaire de l'immeuble et l'intimé est également irrecevable, pour le même motif. Par ailleurs, et comme l'ont retenu les premiers juges, les appelants n'ont aucun intérêt digne de protection à invoquer la nullité d'un accord conclu entre l'intimé et la bailleresse principale, faute de faire partie de cette relation contractuelle. Enfin, la conclusion tendant à faire reconnaître l'existence d'un droit de sous-louer les locaux n'a logiquement de sens que pour autant que le bail principal soit toujours en vigueur. Or, comme l'ont constaté les premiers juges, ledit bail principal a pris fin au 31 décembre 2017. Ainsi, lorsqu'ils ont saisi le Tribunal d'une demande au fond, en date du 5 février 2018, cette conclusion ne pouvait matériellement plus être suivie d'effet, l'intimé n'étant plus titulaire d'aucun droit d'usage sur la chose louée. Dans ce contexte, c'est également à juste titre que les juges de première instance ont retenu que les appelants ne disposaient plus, depuis le début de la procédure au fond et jusqu'au jour du jugement, d'aucun intérêt digne de protection, au sens visé par l'art. 59 al. 2 let. a CPC. De son côté, l'intimé ne possédait pas de légitimation passive concernant cette conclusion, puisqu'il n'est, depuis le 1 er janvier 2018, plus titulaire d'aucun droit d'usage sur l'arcade commerciale. Le jugement entrepris sera en conséquence confirmé.</w:t>
      </w:r>
    </w:p>
    <w:p>
      <w:r>
        <w:rPr>
          <w:b/>
        </w:rPr>
        <w:t>E. 3</w:t>
      </w:r>
    </w:p>
    <w:p>
      <w:r>
        <w:t>A teneur de l'art. 22 al. 1 LaCC, il n'est pas prélevé de frais dans les causes soumises à la juridiction des baux et loyers (ATF 139 III 182 consid. 20.6). * * * * * PAR CES MOTIFS, La Chambre des baux et loyers : A la forme : Déclare recevable l'appel interjeté le 30 juillet 2018 par A______ et B______ contre le jugement JTBL/598/2018 rendu le 26 juin 2018 par le Tribunal des baux et loyers dans la cause C/26230/2017-1-OSD.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