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C/26200/2011 vom 8. Februar 2012</w:t>
      </w:r>
    </w:p>
    <w:p>
      <w:r>
        <w:t>GE Cour de justice, 2012-02-08, FR</w:t>
      </w:r>
    </w:p>
    <w:p>
      <w:r>
        <w:rPr>
          <w:b/>
        </w:rPr>
        <w:t xml:space="preserve">Quelle: </w:t>
      </w:r>
      <w:r>
        <w:t>https://mcp.opencaselaw.ch/entscheid/ge_gerichte_C_26200_2011</w:t>
      </w:r>
    </w:p>
    <w:p>
      <w:r>
        <w:t>FR: GE_GERICHTE C/26200/2011 du 8 février 2012</w:t>
      </w:r>
    </w:p>
    <w:p>
      <w:r>
        <w:t>IT: GE_GERICHTE C/26200/2011 del 8 febbraio 2012</w:t>
      </w:r>
    </w:p>
    <w:p>
      <w:pPr>
        <w:pStyle w:val="Heading2"/>
      </w:pPr>
      <w:r>
        <w:t>Regeste</w:t>
      </w:r>
    </w:p>
    <w:p>
      <w:r>
        <w:t>; CAS CLAIR ; ÉVACUATION(EN GÉNÉRAL) | CPC.257.1 CPC.254</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1.1</w:t>
      </w:r>
    </w:p>
    <w:p>
      <w:r>
        <w:t>En l'espèce, la présente procédure a trait à une demande d'évacuation pour défaut de paiement et d'exécution directe. La valeur litigieuse correspond dès lors à la somme des loyers entre le moment du dépôt de l'appel par l'appelante et le moment où le déguerpissement de l'intimé pourra vraisemblablement être exécuté par la force publique, soit 81'486 fr. (loyer mensuel charges comprises de 9'054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w:t>
      </w:r>
    </w:p>
    <w:p>
      <w:r>
        <w:rPr>
          <w:b/>
        </w:rPr>
        <w:t>E. 1.3</w:t>
      </w:r>
    </w:p>
    <w:p>
      <w:r>
        <w:t>La Cour revoit la cause avec un plein pouvoir d'examen (art. 310 CPC). L'allégation de faits et de moyens de preuve nouveaux est admise aux conditions prévues à l'art. 317 al. 1 CPC.</w:t>
      </w:r>
    </w:p>
    <w:p>
      <w:r>
        <w:rPr>
          <w:b/>
        </w:rPr>
        <w:t>E. 1.4</w:t>
      </w:r>
    </w:p>
    <w:p>
      <w:r>
        <w:t>La Cour examine, en principe, d'office la recevabilité des pièces produites en appel (REETZ/HILBER, Kommentar zur Schweizerischen Zivilprozessordnung, 2010, n. 26 zu 317).</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no 6 ad art. 317 CPC).</w:t>
      </w:r>
    </w:p>
    <w:p>
      <w:r>
        <w:rPr>
          <w:b/>
        </w:rPr>
        <w:t>E. 1.4.2</w:t>
      </w:r>
    </w:p>
    <w:p>
      <w:r>
        <w:t>Dans le cas d'espèce, l'intimé a produit des pièces en appel. Outre la procuration, pièce indispensable, les documents avaient d'ores et déjà été déposés au Tribunal, lors de l'audience du 26 janvier 2012. Ils sont dès lors recevables.</w:t>
      </w:r>
    </w:p>
    <w:p>
      <w:r>
        <w:rPr>
          <w:b/>
        </w:rPr>
        <w:t>E. 2.1</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 Selon l'art. 254 al. 1 CPC, la preuve est en principe rapportée par titres.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2.2</w:t>
      </w:r>
    </w:p>
    <w:p>
      <w:r>
        <w:t>La maxime des débats s'applique à la procédure des cas clairs (arrêt du Tribunal fédéral 4A_447/2011 du 20.9.2011).</w:t>
      </w:r>
    </w:p>
    <w:p>
      <w:r>
        <w:rPr>
          <w:b/>
        </w:rPr>
        <w:t>E. 2.3</w:t>
      </w:r>
    </w:p>
    <w:p>
      <w:r>
        <w:t>En l'espèce, l'état de fait est litigieux et l'appelante n'a pas été à même de prouver immédiatement les faits sur lesquels elle fonde sa demande. L'intimé fait valoir qu'il n'était pas partie au contrat de bail. Les pièces versées au dossier sont en effet contradictoires, dès lors que la convention de remise de commerce et de cession de bail a été conclue entre F______ Sàrl et l'ancienne locataire des locaux, alors que le contrat de transfert de bail mentionne l'intimé. Le décompte établi par la régie en charge de la gestion de l'immeuble indique tant l'intimé que la société F______ Sàrl. Au surplus, le loyer est payé directement par cette dernière à l'appelante, depuis le transfert du bail soit depuis le mois d'avril 2010. Comme l'ont retenu à bon droit les premiers juges, des mesures d'instruction seront nécessaires pour se prononcer sur les arguments soulevés par l'intimé. Dans ces circonstances, l'état de fait ne peut pas être établi sans peine et la situation juridique n'est également pas claire. La procédure sommaire prévue par l’art. 257 al. 1 CPC ne pouvant pas être appliquée, c’est à bon droit, en conformité avec l’art. 257 al. 3 CPC, que le Tribunal des baux et loyers n'est pas entré en matière sur la requête de l’appelante.</w:t>
      </w:r>
    </w:p>
    <w:p>
      <w:r>
        <w:rPr>
          <w:b/>
        </w:rPr>
        <w:t>E. 2.4</w:t>
      </w:r>
    </w:p>
    <w:p>
      <w:r>
        <w:t>L'appelante sera dès lors déboutée de ses conclusions et le jugement entrepris confirmé.</w:t>
      </w:r>
    </w:p>
    <w:p>
      <w:r>
        <w:rPr>
          <w:b/>
        </w:rPr>
        <w:t>E. 3</w:t>
      </w:r>
    </w:p>
    <w:p>
      <w:r>
        <w:t>La procédure est gratuite, de sorte qu'il n'est pas perçu de frais ni alloué de dépens (art. 17 al. 1 LaCC), étant rappelé que l'art. 116 al. 1 CPC autorise les cantons à prévoir des dispenses de frais dans d'autres litiges que ceux visés à l'art. 114 CPC. * * * * * PAR CES MOTIFS, La Chambre des baux et loyers : A la forme : Déclare recevable l'appel interjeté par l'Hoirie de feu A______, soit pour elle : B______, C______ et D______ contre le jugement JTBL/121/2012 rendu le 8 février 2012 par le Tribunal des baux et loyers dans la cause C/26200/2011-8-E. Au fond : Confirme ce jugement. Dit que la procédure est gratuite. Déboute les parties de toutes autres conclusions. Siégeant : Madame Nathalie LANDRY-BARTHE, présidente; Madame Elena SAMPEDRO, Madame Daniela CHIABUDINI,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