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C/25900/2017 vom 6. Februar 2018</w:t>
      </w:r>
    </w:p>
    <w:p>
      <w:r>
        <w:t>GE Cour de justice, 2018-02-06, FR</w:t>
      </w:r>
    </w:p>
    <w:p>
      <w:r>
        <w:rPr>
          <w:b/>
        </w:rPr>
        <w:t xml:space="preserve">Quelle: </w:t>
      </w:r>
      <w:r>
        <w:t>https://mcp.opencaselaw.ch/entscheid/ge_gerichte_C_25900_2017</w:t>
      </w:r>
    </w:p>
    <w:p>
      <w:r>
        <w:t>FR: GE_GERICHTE C/25900/2017 du 6 février 2018</w:t>
      </w:r>
    </w:p>
    <w:p>
      <w:r>
        <w:t>IT: GE_GERICHTE C/25900/2017 del 6 febbraio 2018</w:t>
      </w:r>
    </w:p>
    <w:p>
      <w:pPr>
        <w:pStyle w:val="Heading2"/>
      </w:pPr>
      <w:r>
        <w:t>Regeste</w:t>
      </w:r>
    </w:p>
    <w:p>
      <w:r>
        <w:t>MESURE PRÉPROVISIONNELLE ; CONCURRENCE DÉLOYALE ; RAISON DE COMMERCE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janvier 2018 (art. 162 al. 5 ORC); Qu'il s'ensuit que les conditions de l'octroi des mesures superprovisionnelles ne sont pas réunies, de sorte qu'il n'est pas nécessaire d'examiner la recevabilité des nouvelles conclusions prises par les requérantes; Que la question des frais sera tranchée avec la décision qui sera rendue sur mesures provisionnelles. * * * * * * PAR CES MOTIFS, La Chambre civile : Statuant sur mesures superprovisionnelles : Rejette la requête de mesures superprovisionnelles formée le 29 janvier 2018 par A______ SA et B______ SARL à l'encontre de C______ SARL, D______ et E______ . Dit que la question des frais sera tranchée avec la décision qui sera rendue sur mesures provisionnelles. Siégeant : Madame Ursula ZEHETBAUER GHAVAMI, présidente; Madame Sylvie DROIN et Madame Nathalie RAPP, juges; Madame Anne-Lise JAQUIER, greffière. La présidente : Ursula ZEHETBAUER GHAVAMI La greffière : Anne-Lise JAQUIER S'agissant de mesures superprovisionnelles, il n'y a pas de voie de recours au Tribunal fédéral (ATF 137 III 417 consid. 1.3; arrêt du Tribunal fédéral 5A_37/2013 du 1 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