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C/25071/2011 vom 10. Februar 2014</w:t>
      </w:r>
    </w:p>
    <w:p>
      <w:r>
        <w:t>GE Cour de justice, 2014-02-10, FR</w:t>
      </w:r>
    </w:p>
    <w:p>
      <w:r>
        <w:rPr>
          <w:b/>
        </w:rPr>
        <w:t xml:space="preserve">Quelle: </w:t>
      </w:r>
      <w:r>
        <w:t>https://mcp.opencaselaw.ch/entscheid/ge_gerichte_C_25071_2011</w:t>
      </w:r>
    </w:p>
    <w:p>
      <w:r>
        <w:t>FR: GE_GERICHTE C/25071/2011 du 10 février 2014</w:t>
      </w:r>
    </w:p>
    <w:p>
      <w:r>
        <w:t>IT: GE_GERICHTE C/25071/2011 del 10 febbraio 2014</w:t>
      </w:r>
    </w:p>
    <w:p>
      <w:pPr>
        <w:pStyle w:val="Heading2"/>
      </w:pPr>
      <w:r>
        <w:t>Regeste</w:t>
      </w:r>
    </w:p>
    <w:p>
      <w:r>
        <w:t>BAIL À LOYER; ANNULABILITÉ; RÉSILIATION; PRINCIPE DE LA BONNE FOI | CO.271.2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 teneur de l'art. 22 al. 1 LaCC, il n'est pas prélevé de frais dans les causes soumises à la juridiction des baux et loyers, étant rappelé que l'art. 116 al. 1 CPC autorise les cantons à prévoir des dispenses dans d'autres litiges que ceux visés à l'art. 114 CPC.</w:t>
      </w:r>
    </w:p>
    <w:p>
      <w:r>
        <w:rPr>
          <w:b/>
        </w:rPr>
        <w:t>E. 4</w:t>
      </w:r>
    </w:p>
    <w:p>
      <w:r>
        <w:t>Compte tenu des conclusions devant la Cour, la valeur litigieuse est supérieure à 15'000 fr. au vu du considérant 1.1 ci-dessus.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