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C/25051/2012 vom 24. Februar 2022</w:t>
      </w:r>
    </w:p>
    <w:p>
      <w:r>
        <w:t>GE Cour de justice, 2022-02-24, FR</w:t>
      </w:r>
    </w:p>
    <w:p>
      <w:r>
        <w:rPr>
          <w:b/>
        </w:rPr>
        <w:t xml:space="preserve">Quelle: </w:t>
      </w:r>
      <w:r>
        <w:t>https://mcp.opencaselaw.ch/entscheid/ge_gerichte_C_25051_2012</w:t>
      </w:r>
    </w:p>
    <w:p>
      <w:r>
        <w:t>FR: GE_GERICHTE C/25051/2012 du 24 février 2022</w:t>
      </w:r>
    </w:p>
    <w:p>
      <w:r>
        <w:t>IT: GE_GERICHTE C/25051/2012 del 24 febbraio 2022</w:t>
      </w:r>
    </w:p>
    <w:p>
      <w:pPr>
        <w:pStyle w:val="Heading2"/>
      </w:pPr>
      <w:r>
        <w:t>Regeste</w:t>
      </w:r>
    </w:p>
    <w:p>
      <w:r>
        <w:t>CO.760.al1; CO.754.al1; CO.756.al1</w:t>
      </w:r>
    </w:p>
    <w:p>
      <w:pPr>
        <w:pStyle w:val="Heading2"/>
      </w:pPr>
      <w:r>
        <w:t>Erwägungen</w:t>
      </w:r>
    </w:p>
    <w:p>
      <w:r>
        <w:rPr>
          <w:b/>
        </w:rPr>
        <w:t>E. 1.1</w:t>
      </w:r>
    </w:p>
    <w:p>
      <w:r>
        <w:t>L'appel est recevable contre les décisions finales de première instance, si la valeur litigieuse au dernier état des conclusions est de 10'000 fr. au moins (art. 308 CPC), ce qui est le cas en l'espèce vu les prétentions en paiement de plus de 1'800'000 fr. prises en dernier lieu par l'appelante. Interjeté dans le délai utile de trente jours (art. 311 al. 1 CPC) et suivant la forme prescrite par la loi (art. 130, 131, 311 al. 1 CPC), l'appel est recevable.</w:t>
      </w:r>
    </w:p>
    <w:p>
      <w:r>
        <w:rPr>
          <w:b/>
        </w:rPr>
        <w:t>E. 1.2</w:t>
      </w:r>
    </w:p>
    <w:p>
      <w:r>
        <w:t>La cause est soumise à la maxime des débats et au principe de disposition (art. 55 al. 1 et 58 al. 1 CPC).</w:t>
      </w:r>
    </w:p>
    <w:p>
      <w:r>
        <w:rPr>
          <w:b/>
        </w:rPr>
        <w:t>E. 1.3</w:t>
      </w:r>
    </w:p>
    <w:p>
      <w:r>
        <w:t>La Cour dispose d'un plein pouvoir d'examen en fait et en droit (art. 310 CPC), dans la limite des griefs qui sont formulés (ATF 142 III 413 consid. 2.2.4 et les références citées).</w:t>
      </w:r>
    </w:p>
    <w:p>
      <w:r>
        <w:rPr>
          <w:b/>
        </w:rPr>
        <w:t>E. 2</w:t>
      </w:r>
    </w:p>
    <w:p>
      <w:r>
        <w:t>L'appelante reproche au Tribunal d'avoir retenu que son action en indemnisation était prescrite. Parmi plusieurs griefs, elle se plaint d'une constatation inexacte des faits, en particulier concernant la date de la connaissance effective du dommage, et reproche au Tribunal de ne pas avoir distingué l'action de la société de celle des actionnaires, imputant ainsi l'inaction des actionnaires à la société. Elle soutient que tant et aussi longtemps que la société était administrée par B______ et C______, de 2003 à 2010, celle-ci (la société) n'était pas à même de réunir les éléments utiles à l'établissement du dommage. De plus, elle ne disposait d'aucune possibilité concrète d'agir en justice, dans la mesure où il n'était pas concevable que B______ et C______ aient pu agir au nom de la société à leur propre encontre, en tant qu'auteurs du dommage. Le dies a quo relatif à la prescription avait dès lors commencé à courir au plus tôt au cours de l'année 2011, selon elle, soit dans les mois qui avaient suivi la fin du mandat d'administrateurs des intimés et la reprise de cette fonction par les nouveaux administrateurs. 2.1.1 Les membres du conseil d'administration d'une société anonyme répondent à l'égard de la société, de même qu'envers chaque actionnaire ou créancier social, du dommage qu'ils leur causent en manquant intentionnellement ou par négligence à leurs devoirs (art. 754 al. 1 CO). Conformément à l'art. 756 al. 1 CO, la société et chaque actionnaire ont le droit d'intenter action pour le dommage causé à la société. La doctrine a souligné certaines situations dans lesquelles le conseil d'administration serait peu enclin à ouvrir une action en responsabilité contre tout ou partie de ses membres. Tel est notamment le cas lorsqu'une petite société dont l'actionnaire majoritaire est également l'administrateur contre lequel l'action devrait être introduite. Dans ces cas, on peut sérieusement redouter que l'action sociale ne soit pas exercée par la société. L'art. 756 CO tend à diminuer ce risque et à sauvegarder la créance de la société en permettant à chaque actionnaire d'exercer l'action sociale (Corboz/Aubry Girardin, in Commentaire romand CO II, n. 5 et 6 ad art. 756 CO, Gericke/Waller, in Basler Kommentar OR II, n. 4 ad art. 756 CO et les références citées). 2.1.2 Aux termes de l'art. 760 al. 1 CO, les actions en responsabilité prévues aux art. 752 ss CO se prescrivent par cinq ans à compter du jour où la partie lésée a eu connaissance du dommage, ainsi que de la personne responsable et, dans tous les cas, par dix ans dès le jour où le fait dommageable s'est produit. Le mécanisme repose sur deux délais de prescription. Il y a, tout d'abord, un premier délai de prescription, appelé délai relatif, qui court à compter de la connaissance par le lésé des éléments qui lui permettraient de fonder une action en justice. Ce premier délai est d'une durée de cinq ans. Il y a ensuite un second délai de prescription, appelé délai absolu, qui court à compter de la survenance du fait dommageable, indépendamment de savoir si le lésé en a ou non connaissance et si le dommage s'est ou non déjà produit. Ce second délai est d'une durée de dix ans. La prescription est atteinte, dès que l'un des deux délais est écoulé. Ainsi, la prescription est atteinte si le lésé a laissé s'écouler sans agir plus de cinq ans depuis le moment où il a acquis la connaissance des faits qui lui permettraient de fonder son action, même si le fait dommageable remonte à moins de dix ans. Inversement, la prescription est atteinte s'il s'est écoulé plus de dix ans depuis le fait dommageable, même si le lésé n'a eu connaissance des faits que depuis moins de cinq ans ou n'en a jamais eu connaissance (Corboz/Aubry Girardin, op. cit., n. 4 ad art. 760 CO). S'agissant de l'action de la société, il faut en principe se baser sur la connaissance des personnes chargées de la gestion, tels que le conseil d'administration ou la direction. Le délai de prescription ne commence cependant pas à courir tant que seuls les organes qui ont eux-mêmes agi de manière illicite ou qui se trouvent en situation de conflit d'intérêts ont connaissance du dommage. En pareils cas, il est admis en doctrine que la connaissance de la société ne doit être admise que lorsque l'assemblée générale ou tous les actionnaires sont informés des faits pertinents (Hänni, La responsabilité des administrateurs hors de la faillite de la société anonyme, Collection neuchâteloise, 2017, n. 980, p. 362, Jenny, Abwehrmöglichkeiten von Verwaltungsratsmitgliedern in Verantwortlichkeits-prozessen, 2012, n. 473, p. 281.; Bürgi /Nordmann, in Zürcher Kommentar, V. Band, OR, n. 9 ad art. 760 CO et les références citées). 2.1.3 L'art. 760 CO régit, en tant que disposition spéciale, le délai et le point de départ de la prescription. Pour le reste (notamment la suspension et l'interruption du délai) les règles générales des art. 132 à 142 CO sont applicables (Corboz/Aubry Girardin, op. cit., n. 1 ad art. 760). Selon l'art. 134 al. 1 ch. 6 CO, la prescription ne court point et, si elle avait commencé à courir, elle est suspendue tant qu’il est impossible, pour des raisons objectives, de faire valoir la créance devant un tribunal. Selon la jurisprudence, cette disposition ne s'applique que si le créancier est empêché par des circonstances objectives, indépendantes de sa situation personnelle, d'intenter une action en Suisse (ATF 134 III 294 consid. 1.1; 124 III 449 consid. 4a; arrêt du Tribunal fédéral 4A_148/2017 consid. 4.2.3). Il n'y a dès lors pas de suspension de la prescription si le créancier est empêché d'agir pour une cause inhérente à sa personne (Pichonnaz, in Commentaire romand, CO I, n. 9a ad art. 134 CO; Däppen, in Basler Kommentar, OR I, n. 7 ad art. 134 CO). Il convient de se montrer strict sur la nature objective - soit indépendante de la situation personnelle du créancier - des circonstances pertinentes pour l'application de l'art. 134 al. 1 ch. 6 CO (ATF 134 III 294 consid. 1.1 in JdT 2010 I 75; 124 III 449 consid. 4a; arrêt du Tribunal fédéral 5C.122/2006 consid. 3.2 et 3.3, publié in SJ 2007 I 209). En effet, l'institution juridique de la prescription découle de l'intérêt public – sécurité du droit et paix sociale –, ainsi que de la protection de la confiance du débiteur, celui-ci ne devant pas rester durablement dans l'incertitude de savoir si une créance, qui n'a pas été invoquée depuis longtemps et sur laquelle il a raisonnablement de moins en moins compté, devait finalement être réclamée en justice (ATF 134 III 294 consid. 2.1, in JdT 2010 I 75; 90 II 428 consid. 8 et 9, in JdT 1965 I 243).</w:t>
      </w:r>
    </w:p>
    <w:p>
      <w:r>
        <w:rPr>
          <w:b/>
        </w:rPr>
        <w:t>E. 2.2</w:t>
      </w:r>
    </w:p>
    <w:p>
      <w:r>
        <w:t>En l'espèce, il convient de déterminer quand les éléments à la base du dommage allégué ont été découverts, respectivement à partir de quand le dies a quo de la prescription a commencé à courir.</w:t>
      </w:r>
    </w:p>
    <w:p>
      <w:r>
        <w:rPr>
          <w:b/>
        </w:rPr>
        <w:t>E. 2.2.1</w:t>
      </w:r>
    </w:p>
    <w:p>
      <w:r>
        <w:t>A titre liminaire, il sied de relever que la présente action en indemnisation a été déposée par la société A______ SA et non par ses actionnaires. En tant qu'action de la société, il convient d'examiner sa validité, dont la question de la prescription, sous cet angle. La question qui se pose est dès lors de savoir quand la société elle-même a eu connaissance des éléments permettant d'apprécier le dommage allégué. Pour rappel, au moment des faits litigieux en 2005-2006, la société était administrée par B______ et le capital-actions était détenu à raison d'une moitié par cette dernière et son époux E______ et, à raison de l'autre moitié par F______. Il ressort cependant du dossier que F______ était représentée par son époux D______, jusqu'au décès de ce dernier, en 2007. En effet, à teneur des échanges de correspondance, notamment des courriers des 11 mars 2005, 9 mai et 8 juin 2006, D______ agissait non seulement en sa qualité de fondé de procuration, mais également en tant que représentant de la moitié de l'actionnariat. Il a d'ailleurs participé à la réunion d'actionnaires du 9 mai 2006 en tant que "représentant d'actionnaire" et a pris part à l'assemblée générale du 21 juin 2006, lors de laquelle il a été relevé que l'entier des actions était représenté, malgré l'absence de F______, ce qui tend à confirmer que celle-ci était valablement représentée par son époux. Ce même constat a d'ailleurs été expressément relevé lors de l'assemblée générale du 28 février 2007, dont le procès-verbal en fait état sans ambiguïté, ainsi que par le courrier du conseil de F______ du 19 mars 2007. De surcroît, les parties ont elles-mêmes déclaré lors de l'audience du 28 septembre 2020 devant le Tribunal que D______ "détenait" 50% du capital-actions. C'est dire qu'il était unanimement admis, aux yeux de l'ensemble des protagonistes, actionnaires et administratrice, que D______ représentait le capital-actions appartenant à son épouse et agissait à ce titre. C'est dans ce sens qu'il y a lieu de comprendre le jugement entrepris lorsqu'il fait référence à l'"actionnariat D______/F______", ce qui ne reflète aucune confusion dans l'appréciation des faits, contrairement à ce que soutient l'appelante. Partant, la société agissait, à cette époque, par l'intermédiaire de ses organes (conseil d'administration et assemblée générale) en les personnes de B______ et E______ ainsi que F______, représentée par D______. Reste à savoir si ces personnes étaient au courant du dommage allégué.</w:t>
      </w:r>
    </w:p>
    <w:p>
      <w:r>
        <w:rPr>
          <w:b/>
        </w:rPr>
        <w:t>E. 2.2.2</w:t>
      </w:r>
    </w:p>
    <w:p>
      <w:r>
        <w:t>Au titre de dommage, l'appelante invoque la création d'une "situation privilégiée" par la SA en faveur de la SARL par la signature de la Convention du 10 mai 2006, le préjudice résidant dans la renonciation à certains revenus (recettes des horodateurs ainsi que des panneaux publicitaires) sans réelle contreprestation. Elle prétend en avoir eu connaissance au plus tôt au cours de l'année 2011, soit dans les mois qui ont suivi la fin du mandat d'administrateur des intimés et la reprise de cette fonction par les nouveaux administrateurs. L'appelante ne peut toutefois être suivie dans son raisonnement. En premier lieu, il s'avère que la renonciation des revenus issus d'activités accessoires, telles que les horodateurs et les panneaux publicitaires, n'a pas été instaurée par la signature de la Convention du 10 mai 2006, mais existait déjà auparavant. Dans son courrier du 25 juin 2004, O______ a en effet relevé que cette situation – par laquelle LA L______ SARL encaissait des revenus accessoires à son seul profit – était connue et acceptée de tous les actionnaires depuis des années. Le déséquilibre entre les deux sociétés était également connu, puisque O______ SA a expressément attiré l'attention de la société sur le fait que l'encaissement des revenus accessoires par la SARL ajouté au fait que celle-ci ne payait pas l'intégralité des charges liées à l'exploitation des parkings, une partie de celles-ci demeurant à la charge de la SA, représentait une prestation appréciable en argent sous la forme d'une non-entrée d'un produit. Bien que dûment avertis, l'intention des protagonistes n'était pas de changer cette situation mais, au contraire, de prévoir les mêmes montants avant qu'après l'adoption de ladite Convention, selon les déclarations du représentant de O______ SA, lequel a participé à l'établissement de la Convention litigieuse. Les actionnaires et l'administratrice ont du reste confirmé lors de la réunion du 21 septembre 2005 vouloir laisser les revenus accessoires au seul profit de la SARL, précisant que ceux-ci étaient indépendants de la SA. La teneur de la Convention a d'ailleurs dès le début mentionné la possibilité pour la SARL d'installer à son profit un automate d'encaissement et des panneaux publicitaires, sans que cela ne fasse l'objet de discussions ou de critiques, le problème étant celui de la prise en charge de la TVA. Ainsi, il y a lieu de retenir que le déséquilibre allégué ne découle pas de la signature de la Convention et était connu, même accepté, tant de l'administratrice que de tous les actionnaires de l'appelante. En second lieu, la Convention, aussi bien dans son projet que dans sa version définitive, contenait déjà non seulement le principe de la facturation et le montant de la redevance versée à la SA, mais également le fait que les recettes issues d'horodateurs et des panneaux publicitaires étaient laissées à la SARL. Les recettes publicitaires se trouvaient même déjà prévues dans les baux de 1991 et 2001. Comme l'a relevé à juste titre le Tribunal, la Convention litigieuse a été élaborée de concert entre B______, les fondés de pouvoir et les actionnaires et O______ SA, étant ici rappelé que D______ représentait son épouse. Il ressort en effet des pièces du dossier que la teneur de la Convention a été débattue lors de nombreux courriers entre B______ et D______ et que l'ensemble de leur correspondance a été portée à la connaissance des autres actionnaires lors de la réunion du 14 décembre 2004. De plus, l'administratrice et l'ensemble des actionnaires ont participé aux réunions de travail consacrées à l'élaboration de ladite Convention. D______ était, pour sa part, très impliqué dans la gestion de la SA et au courant de ses affaires, comme cela ressort des nombreux courriers et témoignages ainsi que du procès-verbal d'assemblée générale du 28 février 2007. Il a même émis plusieurs propositions quant à la forme et la nature de la nouvelle organisation à mettre en place. Les actionnaires ont par la suite reçu une copie du projet de convention, dont D______ a accusé réception, ayant ainsi eu l'occasion de se déterminer à nouveau si besoin. Le fait que ce dernier ait sollicité une copie de la Convention finale signée n'est pas de nature, au vu notamment des circonstances telles que décrites ci-dessus, à retenir qu'il n'a pas été consulté, ce d'autant plus que le contenu de celle-ci était quasi identique au projet précédemment établi et qui lui avait été signifié avec accusé de réception. De surcroît, aucun élément ne permet de retenir que sa demande tendant à obtenir une copie de la version finale signée n'aurait pas été honorée. A cet égard, M______ a déclaré en audience qu'il n'existait aucune raison de ne pas lui transmettre le document en question. Sa fille, I______ a, quant elle, reconnu que son père détenait peut-être la Convention définitive tout en affirmant que ce n'était sûrement pas le cas de sa mère, ce qui au final importe peu puisque celle-ci était représentée par ce dernier. C'est en vain que l'appelante prétend que le courrier 28 juillet 2005 de O______ SA, mettant en garde contre le déséquilibre entre les prestations des sociétés, n'aurait pas été communiqué aux intéressés. Si ce courrier a certes été envoyé à B______ seulement, une réunion de direction s'est tenue, le 21 septembre 2005, en présence des actionnaires, dont les discussions portaient précisément sur la suite à donner audit courrier (l'ordre du jour mentionnant: "Projet de convention SI-SARL suite courrier SI/O______"). On ne peut raisonnablement retenir qu'une réunion se soit tenue et que des discussions aient été menées sur le sujet, sans que le contenu du courrier n'ait été porté à la connaissance des intéressés. Quant au grief selon lequel B______ aurait maintenu le flou s'agissant des circonstances entourant la Convention litigieuse, force est de constater qu'il ne trouve pas d'assise dans le dossier. Au contraire, il en ressort que B______ a été transparente en donnant lecture aux actionnaires de toutes les correspondances échangées avec D______ sur la teneur que devait revêtir ladite Convention, que plusieurs séances de discussions ont été spécialement organisées entre tous les intéressés afin de discuter de la Convention litigieuse et de son contenu, et ce également en présence de O______ SA, qui a ainsi pu exposer sa position à l'ensemble des actionnaires. B______ a aussi tenu compte des propositions faites par D______ en les communiquant à O______ SA, transmis à l'ensemble des actionnaires le projet de convention et a encore répondu aux diverses questions et sollicitations, notamment lors de la réunion d'actionnaires du 9 mai 2006 et de l'assemblée générale du 21 juin 2006. Elle a par ailleurs fourni à D______, à la demande de celui-ci, le 10 février 2006, les pièces comptables 2005 de la SA. Enfin, elle s'est montrée disponible en recevant le conseil de F______ en 2007 afin de répondre à ses questions. Dans ces circonstances, on ne discerne pas en quoi B______ aurait failli à son devoir d'information ni quels éléments auraient été dissimulés aux actionnaires. S'il est certes vrai que le dossier ne laisse pas apparaitre une participation de H______ dans l'élaboration de la Convention litigieuse, cela demeure sans incidence dans la mesure où il ne revêtait, à cette époque, aucune fonction au sein la société appelante, n'étant alors ni d'administrateur ni actionnaire. Il y a donc lieu de retenir que tant l'administratrice que l'ensemble des actionnaires de l'époque connaissaient les tenants et aboutissants de la Convention du 10 mai 2016, pour avoir participé à son élaboration. A cela s'ajoute le fait que lors des assemblées générales des 21 juin 2006 et 28 février 2007, lors desquelles l'entier de l'actionnariat était représenté, des discussions ont encore eu lieu s'agissant de la Convention et de la redevance dont la SARL était débitrice envers la SA. Le montant de celle-ci a été explicitement chiffré et discuté. Par ailleurs, l'assemblée générale a accepté à l'unanimité les comptes 2005 et 2006 de la SA, lesquels devaient, en toute logique, contenir la redevance perçue de la SARL. Il s'ensuit que tant l'administratrice, que l'ensemble des actionnaires, de même que l'assemblée générale de la société appelante ont eu connaissance, lors de l'élaboration de la Convention et au plus tard lors de l'assemblée générale du 28 février 2007, du montant de la redevance et du fait que les recettes issues d'horodateurs et des panneaux publicitaires étaient laissées à la SARL. Ces faits constituent les éléments essentiels propres à apprécier le dommage allégué. Le seul fait que les revenus accessoires précités ne soient pas chiffrés n'est pas déterminant, dans la mesure où il n'est pas nécessaire de connaître le montant exact du dommage, celui-ci pouvant être estimé. C'est d'ailleurs ce que l'appelante a fait en sollicitant le versement d'un gain manqué de 100'000 fr. par an sur la base d'une estimation et non de chiffres précis. L'appelante serait du reste malvenue de se prévaloir du fait qu'elle ignorait ce montant, dès lors qu'elle aurait pu aisément l'estimer, comme elle l'a fait dans sa présente action, ou requérir une expertise. Au lieu de cela, la société, par son administratrice, ses actionnaires et son assemblée générale, a constamment acquiescé au fait de laisser ces revenus à la SARL. En définitive, la Cour retiendra que la société, soit pour elle non seulement son administratrice, mais aussi l'assemblée générale, avaient connaissance de toutes les circonstances propres à fonder et à motiver son action en justice au plus tard le 28 février 2007. La prescription étant une question de droit, le juge n'est pas lié par la date du 15 mai 2007 indiqué par l'intimée, ce d'autant plus qu'elle a mentionné cette date avec la mention "au plus tard". Quoi qu'il en soit, dans un cas comme dans l'autre, l'issue du litige demeure identique.</w:t>
      </w:r>
    </w:p>
    <w:p>
      <w:r>
        <w:rPr>
          <w:b/>
        </w:rPr>
        <w:t>E. 2.2.3</w:t>
      </w:r>
    </w:p>
    <w:p>
      <w:r>
        <w:t>L'appelante soutient qu'à défaut de pouvoir agir en justice, la prescription ne pouvait commencer à courir. En application de l'art. 134 al. 1 ch. 6 CO, la prescription ne court pas tant qu'il est impossible, pour des raisons objectives, de faire valoir la créance devant un Tribunal. Certes, l'appelante était administrée, de 2003 à 2008, par B______, soit la signataire de la Convention litigieuse et donc l'auteure du dommage allégué, de sorte qu'il n'était pas concevable qu'elle agisse en justice (pour la société) à son propre encontre. Cet empêchement de l'appelante d'agir en justice par son conseil d'administration était ainsi due à sa propre organisation, donc à une cause dépendante de sa situation personnelle. Il ne s'agit dès lors pas d'un motif objectif, propre à fonder une cause de suspension au sens de l'art. 134 al. 1 ch. 6 CO, étant rappelé que la nature objective de l'empêchement doit être interprétée restrictivement. Le législateur a du reste expressément prévu ce cas de figure en permettant à chaque actionnaire d'intenter l'action en responsabilité (action sociale) pour le dommage causé à la société (art. 756 al. 1 CO). Il existait dès lors une possibilité pour la société d'agir en justice au travers de son assemblée générale ou de tout actionnaire, ce que l'appelante perd de vue dans son argumentation. Si ni le conseil d'administration ni les actionnaires de l'époque n'ont décidé d'entreprendre une telle action, leur décision lie la société, le nouveau conseil d'administration devant se voir opposer la prescription. Par conséquent, le délai de prescription de cinq ans n'a pas été suspendu. Il est donc arrivé à échéance au plus tard le 28 février 2012. Partant, c'est à bon droit que le Tribunal a considéré que l'action, déposée le 20 novembre 2012 par l'appelante, était prescrite. Le jugement sera dès lors confirmé.</w:t>
      </w:r>
    </w:p>
    <w:p>
      <w:r>
        <w:rPr>
          <w:b/>
        </w:rPr>
        <w:t>E. 3</w:t>
      </w:r>
    </w:p>
    <w:p>
      <w:r>
        <w:t>Les frais de l'appel seront arrêtés à 5'000 fr., compte tenu de la valeur litigieuse et du fait que l'examen de la cause a été limité à la question de la prescription (art. 7, 17 et 35 RTFMC), et mis à la charge de l'appelante, qui succombe (art. 106 CPC). Ils seront partiellement compensés avec l'avance fournie à hauteur de 3'000 fr. par cette dernière, laquelle demeure acquise à l'Etat (art. 111 al. 1 CPC). L'appelante sera par conséquent condamnée à verser le solde de 2'000 fr. à l'Etat de Genève, soit pour lui les Services financiers du Pouvoir judiciaire. Vu l'issue du litige, l'appelante sera, en outre, condamnée aux dépens de ses parties adverses, arrêtés à 2'000 fr. pour B______ et à 2'000 fr. également pour C______ (art. 84, 85, 89 et 90 RTFMC), étant relevé que le contenu de leurs écritures est, pour l'essentiel, similaire. * * * * * PAR CES MOTIFS, La Chambre civile : A la forme : Déclare recevable l'appel interjeté le 2 juin 2021 par A______ SA contre le jugement JTPI/5255/2021 rendu le 23 avril 2021 par le Tribunal de première instance dans la cause C/25051/2012. Au fond : Confirme ce jugement. Déboute les parties de toutes autres conclusions. Sur les frais : Arrête les frais judiciaires d'appel à 5'000 fr., les met à la charge de A______ SA et dit qu'ils sont partiellement compensés avec l'avance de frais fournie par cette dernière, qui reste acquise à l'Etat de Genève. Condamne A______ SA à verser la somme de 2'000 fr. à l'Etat de Genève, soit pour lui les Services financiers du Pouvoir judiciaire, à titre de solde de frais judiciaires. Condamne A______ SA à verser à B______ 2'000 fr. à titre de dépens d'appel. Condamne A______ SA à verser à C______ 2'000 fr. à titre de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