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C/24893/2018 vom 4. Mai 2022</w:t>
      </w:r>
    </w:p>
    <w:p>
      <w:r>
        <w:t>GE Cour de justice, 2022-05-04, FR</w:t>
      </w:r>
    </w:p>
    <w:p>
      <w:r>
        <w:rPr>
          <w:b/>
        </w:rPr>
        <w:t xml:space="preserve">Quelle: </w:t>
      </w:r>
      <w:r>
        <w:t>https://mcp.opencaselaw.ch/entscheid/ge_gerichte_C_24893_2018</w:t>
      </w:r>
    </w:p>
    <w:p>
      <w:r>
        <w:t>FR: GE_GERICHTE C/24893/2018 du 4 mai 2022</w:t>
      </w:r>
    </w:p>
    <w:p>
      <w:r>
        <w:t>IT: GE_GERICHTE C/24893/2018 del 4 maggio 2022</w:t>
      </w:r>
    </w:p>
    <w:p>
      <w:pPr>
        <w:pStyle w:val="Heading2"/>
      </w:pPr>
      <w:r>
        <w:t>Erwägungen</w:t>
      </w:r>
    </w:p>
    <w:p>
      <w:r>
        <w:rPr>
          <w:b/>
        </w:rPr>
        <w:t>E. 4</w:t>
      </w:r>
    </w:p>
    <w:p>
      <w:r>
        <w:t>L'appelant fait grief au Tribunal de n'être pas entré en matière sur sa demande de modification, de n'avoir pas pris en compte le concubinage de l'intimée et de n'avoir pas imputé à celle-ci un revenu hypothétique. 4.1.1 Si la situation change notablement, le juge modifie ou supprime la contribution d'entretien à la demande du père, de la mère ou de l'enfant (art. 286 al. 2 CC). Les contributions d’entretien fixées par convention peuvent être modifiées, à moins qu’une telle modification n’ait été exclue avec l'approbation de 'autorité de protection de l'enfant (art. 287 al. 2 CC). Cette modification ou suppression suppose que des faits nouveaux importants et durables surviennent, qui commandent une réglementation différente.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5A_190/2020 du 30 avril 2021 consid. 3). Le moment déterminant pour apprécier si des circonstances nouvelles se sont produites est la date du dépôt de la demande de modification (ATF 137 III 604 consid. 4.1.4; 120 II 285 consid. 4b). C'est donc à ce moment-là qu'il y a lieu de se placer pour déterminer le revenu et son évolution prévisible (arrêt du Tribunal fédéral 5A_190/2020 du 30 avril 2021 consid. 3).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5A_190/2020 précité). Pour que le juge puisse procéder à cette actualisation, il n'est pas nécessaire que la modification survenue dans ces autres éléments constitue également un fait nouveau (ATF 138 III 289 consid. 11.1.1 et les références; arrêts 5A_230/2019 précité consid. 6.1; 5A_760/2016 précité consid. 5.1; 5A_260/2016 du 14 octobre 2016 consid. 2.1.2; 5A_643/2015 du 15 mars 2016 consid. 4). La survenance d'un fait nouveau - important et durable - n'entraîne toutefois pas automatiquement une modification de la contribution d'entretien. Le juge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 du Tribunal fédéral 5A_890/2020 du 2 décembre 2020 consid. 3 et les références citées).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(arrêt du Tribunal fédéral 5A_190/2020 du 30 avril 2021 consid. 3). 4.1.2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ou, si les moyens le permettent, le minimum vital du droit de la famille de chaque partie (ATF 147 III 265 consid. 7.1). 4.1.3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et les références).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précité consid. 3.2.2). 4.1.4 Lorsqu'un débirentier – ou un crédirentier –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p. 97, plus particulièrement la note de bas de page 113; ACJC/858/2021 du 25 juin 2021 consid. 4.1.2). 4.1.5 Dans le calcul des besoins, le minimum vital du droit des poursuites comprend l'entretien de base selon les normes d'insaisissabilité (NI 2022,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(Bastons Bulletti, op. cit., in SJ 2007 II 77, p. 102). Lorsque la prise en charge quotidienne de l'enfant se répartit entre les deux parents, une part au loyer de l'enfant chez chaque parent est admise (arrêt du Tribunal fédéral 5A_952/2019 du 2 décembre 2020 consid. 6.3.2).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voire le remboursement de dettes. En cas de situations plus élevées, il peut encore être tenu compte des primes d'assurance-maladie complémentaires (ATF 147 III 265 consid. 4.1.5 et 7.2). 4.1.6 La garde alternée est la situation dans laquelle les parents exercent en commun l'autorité parentale, mais se partagent la garde de l'enfant d'une façon alternée pour des périodes plus ou moins égales (arrêts du Tribunal fédéral 5A_557/2020 du 2 février 2021 consid. 3.1; 5A_844/2019 du 17 septembre 2020 consid. 3.2.2; 5A_200/2019 du 29 janvier 2020 consid. 3.1.2).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4.1.7 Selon la jurisprudence, il ne se justifie pas de limiter le versement de la contribution aux 25 ans des enfants, dès lors qu'une limitation temporelle absolue de l'obligation d'entretien au moment où l'enfant atteint l'âge de 25 ans révolus n'existe pas en droit civil (ATF 130 V 237 ; arrêts du Tribunal fédéral 5A_517/2020 du 4 octobre 2021 consid. 4.1 et 5A_330/2014 du 30 octobre 2014 consid. 8.3, ACJC/1521/2021 du 12 novembre 2021 consid. 7.2.3). 4.1.8 En principe, la modification de la contribution d'entretien prend effet à la date du dépôt de la demande (ATF 117 II 368 consid. 4c; arrêt du Tribunal fédéral 5A_230/2019 précité consid. 6.1).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 du Tribunal fédéral 5A_549/2020 du 19 mai 2021 consid. 3.1 et les références citées). Cette dernière situation suppose que le crédirentier, sur la base d'indices objectivement sérieux, ait pu compter pendant la durée de la procédure avec le maintien du jugement d'origine; il s'agit ainsi d'un régime d'exception (arrêts du Tribunal fédéral 5A_549/2020 précité; 5A_461/2011 du 14 octobre 2011 consid. 5.1, publié in SJ 2012 I p. 148 et les arrêts cités). 4.2.1 En l'espèce, le droit de visite de l'appelant, prévu par l'ordonnance du Tribunal de protection du 11 juin 2015, a été remplacé le 14 septembre 2017 par une garde alternée. Cette modification ne saurait cependant être qualifiée d'importante. Elle n'implique en effet qu'une répartition différente des jours de garde entre les parents, à savoir que l'enfant, au lieu de passer 2 nuits par semaine et un weekend sur deux chez chacun de ses parents, demeure une semaine chez chacun d'eux en alternance. S'agissant du prétendu concubinage de l'intimée, qui vaudrait circonstance nouvelle importante et durable justifiant qu'il soit entré en matière sur la modification sollicitée, la Cour considère, contrairement au Tribunal, que celui-ci est établi, à tout le moins du 21 janvier 2019 au 29 août 2019, conformément à ce qui figure dans les registres de l'OCPM. Si l'on peut douter que l'intimée ait cessé toute relation avec F______, notamment au regard des déclarations rapportées par le SPMi, il ne saurait pour autant être considéré que celui-ci partage le quotidien de celle-ci et de sa fille, et assume la moitié des frais du ménage de manière régulière et durable. Son employeur est à Bâle, et à suivre l'appelant, son véhicule est également immatriculé dans ce canton, ce qui permet de retenir que F______ y entretient des liens. En tout état, comme relevé précédemment, si le concubinage devait être retenu, cela aurait essentiellement pour conséquence de modifier la part de loyer de l'enfant à sa mère, dans une mesure moindre (cf. consid. 3.2 supra) et le déséquilibre entre les situations financières des parties resterait marqué, de sorte que cela ne justifierait pas qu’il soit entré en matière sur une modification de la transaction du 6 juin 2016. C'est également à tort que l'appelant soutient qu'il conviendrait d'imputer un revenu hypothétique à l'intimée, justifiant ensuite une modification de la transaction précitée. Il est vrai que les déclarations de l'intimée sont en partie contradictoires et que les démarches entreprises en vue de se réorienter professionnellement sont floues. Il n'en reste pas moins qu'il ressort des différentes attestations médicales que l'intimée souffre actuellement de problèmes de santé qui l'empêchent de retrouver une activité lucrative ou limitent sa capacité à cet égard. Peu importe au demeurant la cause de ces problèmes. Même à admettre que l'intimée pourrait travailler, faudrait-il encore que le revenu ainsi réalisé lui permette de disposer d'un montant suffisant lui permettant, après paiement de ses charges, de contribuer à l'entretien de sa fille, afin de diminuer la part de l'appelant à cet égard. Or, une activité à mi-temps, compte tenu de l'âge de l'enfant, pour une personne sans qualification particulière, serait insuffisante pour y parvenir. Les montants perçus par l'intimée lorsqu'elle travaillait, s'ils sont rapportés à un emploi à temps partiel, confirment ce qui précède. De plus, le fait qu'elle ait eu des contacts avec l'AI laisse présager d'une évolution incertaine de son état de santé, obstacle supplémentaire à l'imputation d'un revenu hypothétique, lequel requiert la possibilité effective d'exercer une activité professionnelle. Enfin, le fait que l'intimée se soit rendue au Brésil à plusieurs reprises n'est pas en contradiction avec ce qui précède, la faculté de voyager, fut-ce dans un pays lointain, devant être distinguée de celle de travailler de manière régulière. 4.2.2 Même s'il fallait entrer en matière sur une éventuelle modification de la transaction du 16 juin 2016, au motif que les circonstances auraient changé, le montant de la contribution due par l'appelant à l'entretien de l'enfant ne devrait pas être réduite. En effet, entre 2016 et aujourd'hui, la situation financière de l'appelant s'est améliorée : alors qu'il percevait 8'000 fr. net par mois en 2016, il gagnait 9'425 fr. au janvier 2019, soit quelques mois à peine après le dépôt de la requête. Aucun élément ne permet de considérer que son salaire aurait baissé depuis 2019. Ses charges ont augmenté et passé de 5'100 fr. à l'époque à 7'905 fr., soit le montant retenu par le Tribunal, non contesté en appel. Son disponible mensuel est ainsi de 1'520 fr. (9'425 fr. – 7'905 fr.) au minimum. A l'époque de la transaction, l'intimée percevait des indemnités de chômage de 3'543 fr. et assumait 3'162 fr. de charges mensuelles, soit un disponible mensuel de 381 fr. Aujourd'hui, le versement des indemnités de chômage, d'un montant net moyen de 2'858 fr. non contesté et correspondant aux derniers décomptes connus de juin à août 2021, a pris fin à l'échéance du délai cadre d'indemnisation le 15 novembre 2021. L'intimée ne couvre dès lors pas ses charges mensuelles et subit un déficit. A l'époque de la transaction, les charges mensuelles de C______ totalisaient 1'280 fr., respectivement 980 fr. après déduction des allocations familiales. Aujourd'hui, elles s'élèvent à 901 fr., montant admis par les parties, respectivement à 601 fr. après déduction des allocations familiales. Les parties en remettent pas en cause l'absence de contribution de prise en charge dans les coûts de l'enfant. Au vu des éléments ci-dessus, et compte tenu de la situation économique favorable de l'appelant, à l'inverse de celle précaire de l'intimée, il se justifie que celui-ci prenne en charge la totalité des besoins de l'enfant, malgré la garde alternée. Avec le Tribunal, la Cour considère que la diminution des coûts de l'enfant n'est pas suffisamment significative au regard des revenus de l'appelant pour justifier une réduction de la contribution d'entretien. Ces coûts sont par essence susceptibles de varier à la hausse avec le temps, ne serait-ce que s'agissant du minimum vital OP. Le chiffre 1 du dispositif du jugement entrepris sera en conséquence confirmé.</w:t>
      </w:r>
    </w:p>
    <w:p>
      <w:r>
        <w:rPr>
          <w:b/>
        </w:rPr>
        <w:t>E. 5</w:t>
      </w:r>
    </w:p>
    <w:p>
      <w:r>
        <w:t>L'intimée sollicite la condamnation de l'appelant à une amende pour téméraire plaideur.</w:t>
      </w:r>
    </w:p>
    <w:p>
      <w:r>
        <w:rPr>
          <w:b/>
        </w:rPr>
        <w:t>E. 5.1</w:t>
      </w:r>
    </w:p>
    <w:p>
      <w:r>
        <w:t>Selon l'art. 128 al. 3 CPC, la partie ou son représentant qui usent de mauvaise foi ou de procédés téméraires sont punis d'une amende disciplinaire de 2'000 fr. au plus; l'amende est de 5'000 fr. au plus en cas de récidive. La jurisprudence se montre restrictive. La sanction disciplinaire a un caractère exceptionnel et postule un comportement qualifié (Haldy, in Code de procédure civile commenté, n. 5 ad art. 128 CPC et les références).</w:t>
      </w:r>
    </w:p>
    <w:p>
      <w:r>
        <w:rPr>
          <w:b/>
        </w:rPr>
        <w:t>E. 5.2</w:t>
      </w:r>
    </w:p>
    <w:p>
      <w:r>
        <w:t>En l'espèce, il n'a pas été démontré que l'appelant aurait fait preuve de mauvaise foi, l'intimée ayant pour sa part varié dans certaines de ses explications.</w:t>
      </w:r>
    </w:p>
    <w:p>
      <w:r>
        <w:rPr>
          <w:b/>
        </w:rPr>
        <w:t>E. 6</w:t>
      </w:r>
    </w:p>
    <w:p>
      <w:r>
        <w:t>En l'absence de griefs sur les autres points du dispositif du jugement entrepris, en particulier le ch. 3 ayant condamné l'appelant à payer une somme de 160 fr. 35 à l'intimée au titre de la restitution de l'acompte de chauffage, ceux-ci seront confirmés.</w:t>
      </w:r>
    </w:p>
    <w:p>
      <w:r>
        <w:rPr>
          <w:b/>
        </w:rPr>
        <w:t>E. 7</w:t>
      </w:r>
    </w:p>
    <w:p>
      <w:r>
        <w:t>Les frais judiciaires d'appel seront mis à la charge de l’appelant, qui succombe (art. 106 al. 1 CPC). Ils seront arrêtés à 1'000 fr. (art. 32 et 35 RTFMC) et entièrement compensés avec l’avance de même montant versée par l’appelant, qui reste acquise à l’Etat de Genève. Compte tenu de la nature familiale du litige, chaque partie supportera ses propres dépens d'appel (art. 107 al. 1 let. c CPC). * * * * * PAR CES MOTIFS, La Chambre civile : A la forme : Déclare recevable l'appel interjeté le 8 juillet 2021 par A______ contre le jugement JTPI/7332/2021 rendu le 3 juin 2021 par le Tribunal de première instance dans la cause C/24893/2018 – 17. Au fond : Confirme ce jugement. Déboute les parties de toutes autres conclusions. Sur les frais : Arrête les frais judiciaires d'appel à 1'000 fr., les met à la charge de A______ et les compense avec l’avance de frais versée, qui reste acquise à l’Etat de Genève. Dit qu'il n'est pas alloué de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