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C/24763/2009 vom 17. Dezember 2010</w:t>
      </w:r>
    </w:p>
    <w:p>
      <w:r>
        <w:t>GE Cour de justice, 2010-12-17, FR</w:t>
      </w:r>
    </w:p>
    <w:p>
      <w:r>
        <w:rPr>
          <w:b/>
        </w:rPr>
        <w:t xml:space="preserve">Quelle: </w:t>
      </w:r>
      <w:r>
        <w:t>https://mcp.opencaselaw.ch/entscheid/ge_gerichte_C_24763_2009</w:t>
      </w:r>
    </w:p>
    <w:p>
      <w:r>
        <w:t>FR: GE_GERICHTE C/24763/2009 du 17 décembre 2010</w:t>
      </w:r>
    </w:p>
    <w:p>
      <w:r>
        <w:t>IT: GE_GERICHTE C/24763/2009 del 17 dicembre 2010</w:t>
      </w:r>
    </w:p>
    <w:p>
      <w:pPr>
        <w:pStyle w:val="Heading2"/>
      </w:pPr>
      <w:r>
        <w:t>Regeste</w:t>
      </w:r>
    </w:p>
    <w:p>
      <w:r>
        <w:t>; COMPÉTENCE RATIONE MATERIAE | LOJ.4. LOJ.56.G. CO.312. CO.319</w:t>
      </w:r>
    </w:p>
    <w:p>
      <w:pPr>
        <w:pStyle w:val="Heading2"/>
      </w:pPr>
      <w:r>
        <w:t>Erwägungen</w:t>
      </w:r>
    </w:p>
    <w:p>
      <w:r>
        <w:rPr>
          <w:b/>
        </w:rPr>
        <w:t>E. 1</w:t>
      </w:r>
    </w:p>
    <w:p>
      <w:r>
        <w:t>L'appel a été formé dans le délai utile et selon la forme prescrite par la loi . Compte tenu de la valeur litigieuse, la cognition de la Cour est complète.</w:t>
      </w:r>
    </w:p>
    <w:p>
      <w:r>
        <w:rPr>
          <w:b/>
        </w:rPr>
        <w:t>E. 2</w:t>
      </w:r>
    </w:p>
    <w:p>
      <w:r>
        <w:t>2.1 Selon l'article 27 LOJ, la compétence générale en matière civile échoit au Tribunal de première instance sauf pour les actes "que la loi attribue expressément à une autre autorité judiciaire ou administrative". En particulier, sont jugées par la juridiction des prud'hommes les contestations entre employeurs et salariés pour tout ce qui concerne leurs rapports découlant d'un contrat de travail au sens du titre dixième du code des obligations (art. 4 LOJ; art. 1 al. 1 let. a LJP). Quant au Tribunal administratif, il est compétent pour les recours contre les décisions des autorités et juridictions administratives, sauf exception prévue par la loi (art. 56A LOJ), et pour connaître des actions découlant d'un contrat de droit public (art. 56G LOJ).</w:t>
      </w:r>
    </w:p>
    <w:p>
      <w:r>
        <w:rPr>
          <w:b/>
        </w:rPr>
        <w:t>E. 2.2</w:t>
      </w:r>
    </w:p>
    <w:p>
      <w:r>
        <w:t>En l'espèce, l'intimé, qui accomplissait sa formation clinique post-graduée en médecine humaine, a travaillé au service des HUG (ci-après : l'appelant) pendant plusieurs années, sur la base de trois contrats successifs couvrant chacun une année. Par la suite, l'intimé est parti à l'étranger dans un but de perfectionnement professionnel, tout en bénéficiant d'une aide financière de l'appelant qui souhaitait le voir revenir chez lui, pour y occuper un poste plus qualifié. Le stage à l'étranger devait donc profiter aux deux parties, et l'appelant a tenté de maintenir un lien avec l'intimé en lui facilitant son séjour à l'étranger (où l'intimé devait travailler et donc, y priori, aussi percevoir une rémunération) par un prêt qui n'était remboursable qu'en cas de non-retour de l'emprunteur, ainsi qu'en assurant le versement ininterrompu des contributions aux assurances sociales suisses, en traitant les montants prêtés comme des salaires. Par ailleurs, l'appelant a "autorisé" l'intimé à suivre son stage à l'étranger, au moment de son départ, et qualifié l'absence de l'intimé de "congé sans traitement" au moment où celui-ci ne voulait plus revenir à Genève. Il s'agit là de certains indices en faveur du maintien d'un rapport contractuel de travail entre les parties, durant l'absence prévue de l'intimé. En effet, les parties à un contrat de travail peuvent convenir d'une suspension temporaire de leurs obligations principales et réciproques, soit de l'obligation de travailler au service de l'employeur, d'une part, et de celle de payer à l'employé une rémunération pour les services rendus, d'autre part (FAVRE MOREILLON, Droit du travail, Bâle 2004, p. 107; REHBINDER, Schweizerisches Arbeitsrecht, 15 ème éd. 2002, p. 124 n. 250). Toutefois, l'appelant avait conclu avec l'intimé, successivement et en la forme écrite, des contrats de travail limités dans le temps, dont le dernier était venu à échéance avant le départ de l'intimé à l'étranger. Il n'a pas conclu un nouveau contrat écrit avec l'intimé, puis suspendu les obligations principales en découlant, mais précisément tenté d'assurer un retour ultérieur de l'intimé, par le biais des conditions du contrat de prêt. L'absence d'un contrat de travail écrit et l'existence d'un contrat de prêt écrit réglant les conséquences du non-retour de l'intimé sont des indices pour la volonté des parties de ne pas se lier par un nouveau contrat de travail, durant le séjour de l'appelant à l'étranger. Le fait que l'intimé devait précisément y travailler dans un autre hôpital (et vraisemblablement aussi gagner un salaire) constitue un autre indice pour l'absence d'un (nouveau) contrat de travail entre les parties, de même que le fait que l'intimé était de toute manière encore en formation clinique et qu'il devait occuper à son retour un autre poste, plus qualifié, auprès de l'appelant - étant relevé, dans ce contexte, que l'employeur ne doit pas supporter des frais d'une formation véritable excédant les besoins spécifiques de l'entreprise et étant donc aussi et principalement dans l'intérêt de l'employé puisqu'elle lui permet de prétendre à un salaire supérieur et qu'elle constitue un avantage sur le marché du travail (WYLER/MARTIN, Droit du travail, 2 ème éd. 2008, p. 290; arrêt du Tribunal fédéral 4P.264/2001 , consid. 2 c aa). Enfin, il résulte de l'art. 87 al. 1 de son Règlement, certes postérieur aux faits de la présente cause, que l'appelant entend toujours réengager les collaborateurs qui, à la demande de la hiérarchie et dans le cadre de la préparation de la relève, effectuent un stage de formation de longue durée à l'extérieur, cette période de formation n'étant pas un congé sans traitement, mais pouvant seulement y être assimilée, en cas de réengagement. La Cour déduit de l'ensemble de ces circonstances que, postérieurement au 30 septembre 1999, les rapports entre les parties n'étaient régis que par le contrat de prêt litigieux, à l'exclusion de tout contrat de travail, de droit privé ou éventuellement public. Il s'ensuit que les tribunaux civils ordinaires sont compétents pour trancher le présent litige et que le premier juge a nié à tort sa compétence ratione materiae. Il convient d'annuler le jugement entrepris et de renvoyer la cause au Tribunal pour instruction et décision.</w:t>
      </w:r>
    </w:p>
    <w:p>
      <w:r>
        <w:rPr>
          <w:b/>
        </w:rPr>
        <w:t>E. 3</w:t>
      </w:r>
    </w:p>
    <w:p>
      <w:r>
        <w:t>L'intimé, qui succombe, est condamné aux dépens de première instance et d'appel, sur incident d'incompétence ratione materiae.</w:t>
      </w:r>
    </w:p>
    <w:p>
      <w:r>
        <w:rPr>
          <w:b/>
        </w:rPr>
        <w:t>E. 4</w:t>
      </w:r>
    </w:p>
    <w:p>
      <w:r>
        <w:t>Ne mettant pas fin à la procédure, le présent arrêt n'est pas une décision finale au sens de l'art. 90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