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C/24730/2021 vom 5. Februar 2024</w:t>
      </w:r>
    </w:p>
    <w:p>
      <w:r>
        <w:t>GE Cour de justice, 2024-02-05, FR</w:t>
      </w:r>
    </w:p>
    <w:p>
      <w:r>
        <w:rPr>
          <w:b/>
        </w:rPr>
        <w:t xml:space="preserve">Quelle: </w:t>
      </w:r>
      <w:r>
        <w:t>https://mcp.opencaselaw.ch/entscheid/ge_gerichte_C_24730_2021</w:t>
      </w:r>
    </w:p>
    <w:p>
      <w:r>
        <w:t>FR: GE_GERICHTE C/24730/2021 du 5 février 2024</w:t>
      </w:r>
    </w:p>
    <w:p>
      <w:r>
        <w:t>IT: GE_GERICHTE C/24730/2021 del 5 febbraio 2024</w:t>
      </w:r>
    </w:p>
    <w:p>
      <w:pPr>
        <w:pStyle w:val="Heading2"/>
      </w:pPr>
      <w:r>
        <w:t>Erwägungen</w:t>
      </w:r>
    </w:p>
    <w:p>
      <w:r>
        <w:rPr>
          <w:b/>
        </w:rPr>
        <w:t>E. 1.1</w:t>
      </w:r>
    </w:p>
    <w:p>
      <w:r>
        <w:t>La Cour examine d'office si les conditions de recevabilité de l'appel ou du recours sont remplies (art. 59 et 60 CPC). 1.2.1 L'appel est recevable contre les décisions finales et les décisions incidentes de première instance (art. 308 al. 1 let. a CPC) rendues dans des affaires patrimoniales dont la valeur litigieuse est supérieure à 10'000 fr. (art. 308 al. 2 CPC). La partie adverse peut former un appel joint dans la réponse (art. 313 al. 1 CPC). Une décision est finale, au sens de l'art. 236 CPC, lorsqu'elle met fin à la procédure, que ce soit par une décision au fond, pour un motif tiré du droit matériel, ou par une décision d'irrecevabilité, pour un motif de procédure. La décision partielle, soit celle qui statue, de manière finale, sur un ou plusieurs chefs d'une demande, mais renvoie l'examen d'un ou plusieurs autres à une décision ultérieure (ATF 132 III 785 consid. 2), est assimilée à une décision finale, dès lors qu'elle met un terme à l'instance relativement aux demandes concernées, mais non à la procédure (l'instance perdure à raison de la partie non tranchée du litige). Le jugement partiel est attaquable immédiatement (ATF 135 III 212 consid. 1.2; Hohl, Procédure civile, Tome II, 2010, n. 2336; Jeandin, CR CPC, 2019, n. 8 ad art. 308 CPC). La décision est incidente, au sens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 simplifier le procès, de limiter d'abord la procédure à des questions ou des conclusions déterminées conformément à l'art. 125 let. a CPC (arrêt du Tribunal fédéral 4A_545/2014 du 10 avril 2015 consid. 2.1). Le jugement qui admet l'irrecevabilité (par ex. pour incompétence ratione loci ) ou retient la prescription est une décision finale. Le jugement contraire (refus du juge de se déclarer incompétent; rejet du moyen tiré de la prescription) est une décision incidente qui doit être attaquée immédiatement (art. 237 al. 2 CPC; Jeandin, op. cit., n. 9 ad art. 308 CPC). 1.2.2 En l'espèce, la voie ouverte est celle de l'appel. L'acte dont la Cour est saisie respecte le délai légal de 30 jours (art. 311 al. 1 CPC).</w:t>
      </w:r>
    </w:p>
    <w:p>
      <w:r>
        <w:rPr>
          <w:b/>
        </w:rPr>
        <w:t>E. 1.3</w:t>
      </w:r>
    </w:p>
    <w:p>
      <w:r>
        <w:t>Il ne faut pas confondre la désignation inexacte d'une partie avec le défaut de qualité pour agir ou pour défendre (arrêt du Tribunal fédéral 4A_560/2015 du 20 mai 2016 consid. 4.2; ATF 141 III 539 consid. 3.5.1).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Quant à la substitution de partie, elle vise un changement de partie (art. 83 CPC; " Parteiwechsel ") en cours d'instance, en particulier en cas d'aliénation de l'objet du litige (ou de cession de créance) durant le procès (art. 83 al. 1 CPC) ou en vertu de dispositions spéciales prévoyant une succession légale (art. 83 al. 4 2 ème phr. CPC); en dehors de ces hypothèses, le changement de partie est subordonné au consentement de la partie adverse (art. 83 al. 4 1 ère phr. CPC). La substitution de partie, sous réserve de ce dernier cas, n'est donc pas un moyen pour le demandeur pour corriger ses erreurs de procédure dans la désignation de celui qui a qualité pour agir ou pour défendre (ATF 142 III 782 consid. 3.2.2).</w:t>
      </w:r>
    </w:p>
    <w:p>
      <w:r>
        <w:rPr>
          <w:b/>
        </w:rPr>
        <w:t>E. 1.4</w:t>
      </w:r>
    </w:p>
    <w:p>
      <w:r>
        <w:t>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w:t>
      </w:r>
    </w:p>
    <w:p>
      <w:r>
        <w:rPr>
          <w:b/>
        </w:rPr>
        <w:t>E. 1.5</w:t>
      </w:r>
    </w:p>
    <w:p>
      <w:r>
        <w:t>La nullité doit être constatée d'office, en tout temps et par l'ensemble des autorités étatiques; elle peut aussi être constatée en procédure de recours (ATF 137 III 217 consid. 2.4.3; 132 II 342 consid. 2.1; 122 I 97 consid. 3a). La nullité d'un jugement ne peut être retenue qu'à titre exceptionnel, lorsqu'il souffre de vices particulièrement graves et pour autant que la sécurité du droit ne soit pas sérieusement compromise. De pareils motifs résident notamment dans la violation grossière des règles de procédure (ATF 138 II 501 consid. 3.1).</w:t>
      </w:r>
    </w:p>
    <w:p>
      <w:r>
        <w:rPr>
          <w:b/>
        </w:rPr>
        <w:t>E. 1.6</w:t>
      </w:r>
    </w:p>
    <w:p>
      <w:r>
        <w:t>En l'espèce, le jugement, à teneur de sa page de garde, a été rendu entre l'intimée, demanderesse en première instance, et un tiers à la procédure, dont aucun élément au dossier ne permet de retenir qu'il aurait eu connaissance de la cause avant que la décision attaquée ne soit rendue. Cette décision a été expédiée pour notification audit tiers dans une étude d'avocat, alors que rien n'établit qu'elle aurait été mandatée par ledit tiers. Au détour d'une note de bas de page de sa réplique sur appel, l'appelant relève d'ailleurs que le tiers n'a pas mandaté ses propres conseils et que la décision n'a ainsi pas été valablement notifiée à ce tiers personnellement condamné au paiement de frais judiciaires. A cet égard, il apparaît incidemment surprenant que le pli du Tribunal ait été accepté, et non pas retourné à son expéditeur comme erronément adressé pour notification. En tout état, ledit tiers, qui s'est ainsi vu attrait à la procédure, sans avoir pu en prendre connaissance ni se déterminer d'une quelconque façon, subit une violation patente de son droit d'être entendu. Quant à l'appelant, il n'a pas reçu de notification du jugement, bien qu'il en ait manifestement eu connaissance puisqu'il a formé appel, en dépit de ce qu'il a été mis hors de cause. Comme son intérêt à recourir est douteux, il s'ensuit une impasse procédurale. Par ailleurs, le dispositif du jugement recèle une contradiction dans la mesure où il constate, en son chiffre 2, une légitimation passive du mandataire général pour la Suisse des assureur B______, soit une fonction dissociée de l'identité de son titulaire, tout en procédant, en son chiffre 3, à une supposée substitution de partie en faveur d'une personne physique nommément désignée, sans mention de sa fonction. Ce dernier chiffre correspond certes à une lecture littérale des conclusions sur substitution articulées par l'intimée (mais non au libellé initial de la demande qui spécifiait la qualité de la personne visée); il n'en demeure pas moins qu'il est dépourvu de sens logique au vu du raisonnement conduit par le premier juge, constaté au chiffre 2 susmentionné, et pourrait être de nature à provoquer une nouvelle complication en cas de changement du chef de la succursale de Zurich, faisant office de mandataire général pour la Suisse des assureurs B______ . En définitive, au vu des manquements procéduraux relevés ci-dessus, dont le plus manifeste est la violation du droit d'être entendue de la personne physique que le Tribunal a substituée au défendeur initial, il doit être retenu, à titre exceptionnel et quoi qu'il en soit de la recevabilité de l'appel, que le jugement se révèle nul. Il n'y a donc pas à examiner plus avant les griefs de l'appel et de l'appel joint. La nullité du jugement sera constatée et la cause sera renvoyée au Tribunal pour la suite de la procédure.</w:t>
      </w:r>
    </w:p>
    <w:p>
      <w:r>
        <w:rPr>
          <w:b/>
        </w:rPr>
        <w:t>E. 2</w:t>
      </w:r>
    </w:p>
    <w:p>
      <w:r>
        <w:t>Les frais judiciaires du présent arrêt, fixés à 1'000 fr. (art. 36 RTFMC) seront laissés à la charge de l'Etat de Genève (art. 107 al. 2 CPC). Les avances de frais effectuées par les parties leur seront restituées. Au vu des circonstances procédurales particulières, chacune des parties supportera ses propres dépens d'appel (art. 107 al. 1 let. f CPC). * * * * * PAR CES MOTIFS, La Chambre civile : Constate la nullité du jugement JTPI/1883/2024 rendu par le Tribunal de première instance le 5 février 2024. Renvoie la cause au Tribunal de première instance pour la suite de la procédure. Sur les frais : Arrête les frais judiciaires d'appel à 1'000 fr., et les met à la charge de l'Etat de Genève. Ordonne aux Services financiers du Pouvoir judiciaire de restituer 1'000 fr. à A______ et 800 fr. à C______/D______ SA. Dit que chacune des parties supporte ses propres dépens d'appel. Siégeant : Madame Nathalie RAPP, présidente; Madame Sylvie DROIN, Monsieur Jean REYMOND, juges; Madame Sandra CARRIER, greffière. La présidente : Nathalie RAPP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