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C/24504/2013 vom 13. November 2015</w:t>
      </w:r>
    </w:p>
    <w:p>
      <w:r>
        <w:t>GE Cour de justice, 2015-11-13, FR</w:t>
      </w:r>
    </w:p>
    <w:p>
      <w:r>
        <w:rPr>
          <w:b/>
        </w:rPr>
        <w:t xml:space="preserve">Quelle: </w:t>
      </w:r>
      <w:r>
        <w:t>https://mcp.opencaselaw.ch/entscheid/ge_gerichte_C_24504_2013</w:t>
      </w:r>
    </w:p>
    <w:p>
      <w:r>
        <w:t>FR: GE_GERICHTE C/24504/2013 du 13 novembre 2015</w:t>
      </w:r>
    </w:p>
    <w:p>
      <w:r>
        <w:t>IT: GE_GERICHTE C/24504/2013 del 13 novembre 2015</w:t>
      </w:r>
    </w:p>
    <w:p>
      <w:pPr>
        <w:pStyle w:val="Heading2"/>
      </w:pPr>
      <w:r>
        <w:t>Regeste</w:t>
      </w:r>
    </w:p>
    <w:p>
      <w:r>
        <w:t>DIVORCE; ACTION EN MODIFICATION; AUTORITÉ PARENTALE CONJOINTE; DROIT DE DÉTERMINER LE LIEU DE RÉSIDENCE; RETRAIT DE L'AUTORITÉ PARENTALE; CURATELLE; OBLIGATION D'ENTRETIEN | CC.133.1; CC.134.2; CC.285.1; CC.286.2; CC.296.1; CC.301; CC.308.2; CC.311.1</w:t>
      </w:r>
    </w:p>
    <w:p>
      <w:pPr>
        <w:pStyle w:val="Heading2"/>
      </w:pPr>
      <w:r>
        <w:t>Erwägungen</w:t>
      </w:r>
    </w:p>
    <w:p>
      <w:r>
        <w:rPr>
          <w:b/>
        </w:rPr>
        <w:t>E. 1.1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La voie d'appel est dès lors ouverte (art. 308 al. 1 let. a et al. 2 CPC). Déposé dans le délai utile et selon la forme prescrite par la loi (art. 130, 131 et 311 CPC), l'appel est recevable. Il en va de même de l'appel joint formé par l'intimée dans sa réponse (art. 313 al. 1 CPC). Sont également recevables les déterminations subséquentes des parties (ATF 138 I 154 consid. 2.3.3; 137 I 195 consid. 2.3.1 = SJ 2011 I 345). En revanche, les déterminations adressées le 2 octobre 2015 par l'appelant, soit bien après le délai raisonnable après la dernière écriture de l'intimée du 4 août 2015 et ultérieurement à la mise en délibération de la cause le 28 juillet 2015, ne sont pas recevables, ainsi que les allégués de fait s'y rapportant (ATF 139 I 189 consid. 3.2; arrêts du Tribunal fédéral 5A_262/2015 du 11 août 2015 consid. 3.1; sur le délai : 5A_777/2011 du 7 février 2012 consid. 2.1).</w:t>
      </w:r>
    </w:p>
    <w:p>
      <w:r>
        <w:rPr>
          <w:b/>
        </w:rPr>
        <w:t>E. 1.2</w:t>
      </w:r>
    </w:p>
    <w:p>
      <w:r>
        <w:t>La cognition de la Cour est complète (art. 310 CPC). Le litige concernant les droits parentaux sur les enfants mineurs des parties, l'instauration d'une curatelle de surveillance et d'organisation du droit de visite, ainsi que la contribution d'entretien en faveur des enfants mineurs, la présente cause est soumise aux maximes d'office et inquisitoire illimitées (art. 296 al. 1 et 3 CPC). En conséquence, la Cour n'est pas liée par les conclusions des parties, la maxime d'office s'étendant à la procédure devant les deux instances cantonales (ATF 129 III 417 consid. 2.1.2; 128 III 411 consid. 3.2.2; arrêt du Tribunal fédéral 5A_132/2014 du 20 juin 2014 consid. 3.1.3).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la cause de droit matrimonial concernant les enfants mineurs, la Cour de céans admet tous les novas et moyens de preuve nouveaux (dans ce sens : TREZZINI, Commentario al Codice di diritto processuale civile svizzero (CPC), COCCHI/TREZZINI/BERNASCONI, 2011, P. 1394; TAPPY, Les voies de droit du nouveau Code de procédure civile, JdT 2010 III p. 115 ss, 139).</w:t>
      </w:r>
    </w:p>
    <w:p>
      <w:r>
        <w:rPr>
          <w:b/>
        </w:rPr>
        <w:t>E. 2.2</w:t>
      </w:r>
    </w:p>
    <w:p>
      <w:r>
        <w:t>Au vu des règles susrappelées, l'ensemble des pièces produites par les parties sont recevables, ainsi que les allégués de faits s'y rapportant.</w:t>
      </w:r>
    </w:p>
    <w:p>
      <w:r>
        <w:rPr>
          <w:b/>
        </w:rPr>
        <w:t>E. 3</w:t>
      </w:r>
    </w:p>
    <w:p>
      <w:r>
        <w:t>3.1 Le présent litige présente un élément d'extranéité en raison de la nationalité française de l'appelant et de son domicile à _____ (Russie). Les tribunaux suisses du domicile de l'époux défendeur sont compétents pour connaître d'une action en modification du jugement de divorce (art. 64 al. 1 cum art. 59 let. a et 63 al. 1 LDIP). Au niveau cantonal, le for est régi par les art. 9 ss CPC (HOHL, Procédure civile, Tome II, 2010, p. 44 n.139).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complément ou en modification de divorce (HALDY, in CPC Code de procédure civile commenté, Bâle, 2011, n. 4 ad art. 23 CPC). Par ailleurs, l'action en modification du jugement de divorce est régie par le droit suisse (art. 64 al. 2 cum art. 61 al. 1 LDIP).</w:t>
      </w:r>
    </w:p>
    <w:p>
      <w:r>
        <w:rPr>
          <w:b/>
        </w:rPr>
        <w:t>E. 3.2</w:t>
      </w:r>
    </w:p>
    <w:p>
      <w:r>
        <w:t>En l'espèce, dès lors que l'intimée dans la présente procédure en modification du jugement de divorce est domiciliée à Genève, les juridictions genevoises sont compétentes ratione loci et le droit suisse est applicable.</w:t>
      </w:r>
    </w:p>
    <w:p>
      <w:r>
        <w:rPr>
          <w:b/>
        </w:rPr>
        <w:t>E. 4</w:t>
      </w:r>
    </w:p>
    <w:p>
      <w:r>
        <w:t>4.1 Les nouvelles dispositions régissant les effets de la filiation, entrées en vigueur le 1 er juillet 2014, soit pendant la procédure de première instance, sont applicables en l'espèce (arrêt du Tribunal fédéral 5A_92/2014 du 25 juillet 2014 consid. 2.1).</w:t>
      </w:r>
    </w:p>
    <w:p>
      <w:r>
        <w:rPr>
          <w:b/>
        </w:rPr>
        <w:t>E. 4.2</w:t>
      </w:r>
    </w:p>
    <w:p>
      <w:r>
        <w:t>Selon l'art. 133 al. 1 CC, le juge du divorce règle les droits et les devoirs des père et mère conformément aux dispositions régissant les effets de la filiation. Cette réglementation porte notamment sur l'autorité parentale (ch. 1), la garde de l'enfant (ch. 2), les relations personnelles (art. 273 CC)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5A_369/2012 du 10 août 2012 consid. 3.2.1; 5A_483/2011 et 5A_504/2011 du 31 octobre 2011 consid. 3.2; 5A_63/2011 du 1er juin 2011 consid. 2.4.1; 5A_697/2009 du 4 mars 2010 consid. 3; 5C.63/2005 du 1er juin 2005 consid. 2 non publié aux ATF 131 III 553 ).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et 5A_504/2011 du 31 octobre 2011 consid. 3.2, 5A_63/2011 du 1er juin 2011 consid. 2.4.1 et 5C.32/2007 du 10 mai 2007 consid. 4.1).</w:t>
      </w:r>
    </w:p>
    <w:p>
      <w:r>
        <w:rPr>
          <w:b/>
        </w:rPr>
        <w:t>E. 4.3</w:t>
      </w:r>
    </w:p>
    <w:p>
      <w:r>
        <w:t>En l'espèce, l'existence de faits nouveaux intervenus depuis le prononcé du divorce, en particulier s'agissant des divergences et difficultés rencontrées par les parties peut demeurer ouverte, compte tenu des considérations qui vont suivre. La Cour relève d'ailleurs qu'aucune des parties ne s'est prononcée sur les relations conflictuelles qu'elles connaissaient déjà lors de leur séparation et qui ne les ont pas empêchées de conclure une convention de divorce. L'intimée avait, en effet, requis, en 2012, le prononcé de mesures protectrices de l'union conjugale, dans le cadre de laquelle elle avait conclu à l'attribution en sa faveur de l'autorité parentale sur les deux enfants, requête qu'elle a ensuite retirée.</w:t>
      </w:r>
    </w:p>
    <w:p>
      <w:r>
        <w:rPr>
          <w:b/>
        </w:rPr>
        <w:t>E. 4.4</w:t>
      </w:r>
    </w:p>
    <w:p>
      <w:r>
        <w:t>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(al. 3). La règle fondamentale en matière d'attribution de l'autorité parentale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115 II 206 consid. 4a ; arrêt du Tribunal fédéral 5A_357/2010 consid. 2.1).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 ème éd., 2014, n. 448). En principe,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(MEIER/STETTLER, op. cit., n. 499 ss). 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Sous l'ancien droit, il était admis que lorsque les deux parents demandaient l'attribution exclusive de l'autorité parentale en leurs mains, cela constituait une indication que l'autorité parentale conjointe ne répondait plus à l'intérêt de l'enfant. Cette approche doit être relativisée depuis l'entrée en vigueur du nouveau droit (MEIER/STETTLER, op. cit., n. 531).</w:t>
      </w:r>
    </w:p>
    <w:p>
      <w:r>
        <w:rPr>
          <w:b/>
        </w:rPr>
        <w:t>E. 4.5</w:t>
      </w:r>
    </w:p>
    <w:p>
      <w:r>
        <w:t>L'autorité parentale constitue à la fois un droit et un devoir: elle permet et oblige les parents à prendre toutes les décisions nécessaires et conformes au bien de l'enfant pendant sa minorité (art. 301 CC). Ils ont ainsi le devoir d'assurer l'entretien, l'éducation, l'assistance et la protection de l'enfant (art. 272, 276, 301 à 303 et 318 CC) et il leur incombe de prendre toutes les décisions qui le concernent, pouvoir qui découle du fait qu'ils détiennent l'autorité parentale (art. 296 al. 1, 297 al. 1 et 304 al. 1 CC). Plus spécifiquement, les détenteurs de l'autorité parentale sont tenus d'élever l'enfant selon leurs facultés et leurs moyens et ils ont l'obligation de favoriser et de protéger son développement corporel, intellectuel et moral (art. 302 al. 1 CC). Ils doivent donner à l'enfant une formation générale et professionnelle appropriée, correspondant autant que possible à ses goûts et à ses aptitudes (art. 302 al. 2 CC) et collaborer à cet effet de façon appropriée avec l'école et, lorsque les circonstances l'exigent, avec les institutions publiques de protection de la jeunesse (art. 302 al. 3 CC). La formation générale comprend la scolarité obligatoire et, lorsque les aptitudes de l'enfant le permettent, une formation post-obligatoire supplémentaire. En principe, les parents satisfont à leur obligation en plaçant l'enfant dans une école publique, les cantons ayant l'obligation constitutionnelle d'assurer aux enfants une formation obligatoire appropriée (ATF 117 Ia consid. 6a,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(VEZ, Commentaire romand du CC, n. 8 ad art. 302 et réf. citée sous note marginale 13). Lorsque les parents exercent en commun l'autorité parentale, comme in casu, les décisions doivent en principe être prises en commun. Toutefois, il est admis que chacun d'eux peut exercer l'autorité parentale de manière indépendante, avec le consentement donné a priori ou la ratification donnée a posteriori de l'autre parent, étant précisé que la répartition des tâches entre eux comprend le consentement tacite à l'exercice de l'autorité parentale dans le domaine concerné (VEZ, op. cit., n. 2 ad art. 297 CC, et réf. citées sous note marginales 2 à 4). Un parent ne peut toutefois exercer l'autorité parentale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loc. cit et réf. citées sous notes marginales 8 et 9). Plus spécifiquement, s'il y a désaccord entre les parents sur une question importante relative au sort de l'enfant, la voix d'aucun des parents n'est prépondérante. Le juge matrimonial, respectivement l'autorité de protection, peut alors, soit tenter de trouver un terrain d'entente (art. 172 CC), soit rappeler les parents à leurs devoirs ou, si les conditions en sont remplies, recourir aux mesures de protection des art. 307 et suivants CC (VEZ, op. cit., loc. cit., avec références à deux articles d'HEGNAUER, cités sous notes marginales 8 et 9). Du point de vue de ce qui précède, la novelle qui est entrée en vigueur le 1er juillet 2014 n'a rien changé au principe selon lequel les parents exercent en commun l'autorité parentale sur leur enfant. Ceux-ci devront ainsi continuer à prendre ensemble les décisions le concernant, sans qu'aucun d'eux n'ait une voix prépondérante. Ainsi que le définit déjà l'ATF 136 III 353 consid. 3.2, cette règle concerne les domaines suivants : choix du prénom, formation générale et profes-sionnelle, éducation religieuse, toute intervention médicale et tout événement déterminant dans la vie de l'enfant, comme la pratique d'un sport de compétition. Les nouvelles dispositions prescrivent cependant de manière expresse - ce qui n'est pas le cas dans l'ancien - que le parent qui s'occupe de l'enfant peut prendre seul les décisions courantes ou urgentes, dont sont toutefois exclues, notamment, celles relatives au changement d'école (art. 301 al. 1bis ch. 1 CC; Message, p. 8343/8344). Un parent pourra par ailleurs également décider seul si l'autre parent ne peut être atteint moyennant un effort raisonnable (art. 301 al. 1bis ch. 2 CC). Il reviendra au juge de déterminer quels sont les domaines couverts par les décisions courantes. Celles-ci concerneront probablement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si l'on veut éviter que l'autorité parentale conjointe ne soit vidée de son contenu et de son sens (Message, p. 8344). Avant la révision législative du 21 juin 2013 entrée en vigueur le 1er juillet 2014, la notion du "droit de garde", conçue comme une composante de l'autorité parentale (ATF 128 III 9 ), comprenait la compétence de déterminer le lieu de résidence et celle de définir la nature de l'encadrement quotidien de l'enfant (MEIER/STETTLER, op. cit., n. 461). A la suite de cette révision, la notion du "droit de garde" a été remplacée par celle du "droit de déterminer le lieu de résidence de l'enfant", de sorte que le terme de "la garde" s'est réduit à la seule dimension de la garde de fait, à savoir le fait de vivre en communauté domestique avec l'enfant et de lui donner ce dont il a besoin au quotidien pour se développer harmonieusement sur les plans physique, affectif et intellectuel (soins et éducation au sens large; MEIER/STETTLER, op. cit., n os 466, 467, 886 et 1291).</w:t>
      </w:r>
    </w:p>
    <w:p>
      <w:r>
        <w:rPr>
          <w:b/>
        </w:rPr>
        <w:t>E. 4.6</w:t>
      </w:r>
    </w:p>
    <w:p>
      <w:r>
        <w:t>Selon la jurisprudence récente du Tribunal fédéral, 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(notamment : Hausheer/Geiser/Aebi-Müller, Das Familienrecht des Schweizerischen Zivilgesetzbuches, 5e éd., 2014, n. 10.135 p. 188; Meier/Stettler, Droit de la filiation, 5e éd., 2014, n. 488 p. 328; Message du 16 novembre 2011 concernant une modification du Code civil suisse [Autorité parentale], FF 2011 8339 ch. 2.1). Le juge doit ainsi s'assurer que les conditions à l'exercice de l'autorité parentale conjointe sont toujours remplies, ce qui n'est plus le cas si la sauvegarde des intérêts de l'enfant exige que cette autorité parentale soit retirée à l'un des parents (FF 2011 8340 ch. 2.1). A cet effet, l'art. 298 al. 1 CC prévoit que le juge confie l'autorité parentale exclusive à l'un des parents si le bien de l'enfant le commande (cf. parmi plusieurs : Schwenzer/ Cottier, in Basler Kommentar, n. 14 ad art. 298 CC; Meier/Stettler, op. cit., n. 510 p. 343; Hausheer/Geiser/ Aebi-Müller, op. cit., n. 17.88 p. 390/391 et, pour l'art. 298d CC, n. 17.168 p. 413) (arrêt du Tribunal fédéral 5A_985/2014 du 25 juin 2015 consid. 3.1.1). 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rPr>
          <w:b/>
        </w:rPr>
        <w:t>E. 4.7</w:t>
      </w:r>
    </w:p>
    <w:p>
      <w:r>
        <w:t>En outre, à teneur de la jurisprudence récente du Tribunal fédéral, le retrait de l'autorité parentale présuppose une incapacité de fait durable (Hegnauer/Meier,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(Breitschmid, Basler Kommentar, 4ème éd., 2010, n. 7 ad art. 311/312 ZGB et les références).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avait lieu d'admettre, dans de telles circonstances, l'existence d'un "motif analogue" au sens de l'art. 311 al. 1 ch. 1 CC (ATF 119 II 9 consid. 4 p. 12 et arrêt 5C.262/2003 du 8 avril 2004 consid. 3.3). L'incapacité du détenteur de l'autorité parentale peut également résulter du comportement de celui-ci, s'il ne s'est pas soucié sérieusement de l'enfant (Hegnauer/Meier, op. cit., n. 27.46). Il faut se montrer particulièrement rigoureux dans l'appréciation des circonstances, le retrait de l'autorité parentale, qui équivaut à la perte d'un droit élémentaire de la personnalité, n'était admissible que si d'autres mesures pour prévenir le danger que court l'enfant - à savoir les mesures protectrices (art. 307 CC), la curatelle d'assistance (art. 308 CC) et le retrait du droit de garde (art. 310 CC) - se sont révélées vaines ou sont d'emblée insuffisantes (Tuor/Schnyder/Schmid/ Rumo-Jungo, Das schweizerische Zivilgesetzbuch, 13ème éd., 2009, n° 22 § 44). Le principe de la proportionnalité de l'intervention commande une attention particulière (ATF 119 II 9 consid. 4a p. 10 s. et les références). Le retrait de l'autorité parentale présuppose donc que l'une des hypothèses prévues à l'art. 311 al. 1 ch. 1 ou 2 CC soit satisfaite et que le retrait de la garde ou d'autres mesures de protection de l'enfant se révèlent insuffisantes (arrêt du Tribunal fédéral 5A_213/2012 du 19 juin 2012 consid. 4.1).</w:t>
      </w:r>
    </w:p>
    <w:p>
      <w:r>
        <w:rPr>
          <w:b/>
        </w:rPr>
        <w:t>E. 4.8</w:t>
      </w:r>
    </w:p>
    <w:p>
      <w:r>
        <w:t>Dans le cas d'espèce, il est constant que la situation des enfants n'est pas suivie par le SPMi. Il ne résulte pas non plus de la procédure que les enfants rencontreraient des difficultés scolaires, de santé ou d'autres troubles. Les problèmes logopédiques de D_____ sont traités. Les enfants se développent en conséquence de manière harmonieuse. L'intimée fait grand cas du comportement qu'elle qualifie de "parfaitement inadéquat" de l'appelant, celui-ci n'ayant pas respecté son obligation de verser la contribution à l'entretien de ses enfants, violation constatée par les autorités pénales, ainsi que du mépris dont il a fait montre à son égard, en introduisant un logiciel espion dans ses ordinateurs professionnels et privés. Certes, le comportement de l'appelant n'est pas exempt de critique et l'illicéité de celui-là a été constatée. Toutefois, l'absence, durant une certaine période, de paiement de la pension pour ses enfants n'est pas de nature, dans le cas d'espèce et compte tenu de la situation financière des parties, à mettre en péril l'intérêt des enfants. Par ailleurs, la modification de la contribution des enfants requise par l'appelant, également objet de la présente procédure, que l'intimée qualifie "d'acharnement", n'est pas pertinente pour déterminer les capacités parentales au regard de l'exercice de l'autorité parentale. Il en va de même du déménagement de l'appelant à l'étranger et de son remariage. Enfin, il n'est pas déterminant que l'appelant puisse, en cas d'attribution de l'autorité parentale à la seule mère, continuer de pouvoir exercer ses relations personnelles avec les enfants, dont l'environnement ne serait ainsi prétendument pas perturbé, ces critères n'étant pas pertinents pour déterminer l'attribution de l'autorité parentale. En l'occurrence, aucun indice concret ne permet de considérer que le père ne serait plus en mesure d'exercer l'autorité parentale pour un motif comparable à ceux évoqués à l'art. 311 al. 1 CC, ni qu'il ne se serait pas soucié sérieusement de ses enfants ou aurait manqué gravement à ses devoirs envers eux. Il résulte au contraire de la procédure que l'appelant exerce concrètement et de manière régulière son droit de visite, même si des divergences et des difficultés y relatives existent. Les contacts entre le père et les enfants sont indéniablement nécessaires au sain développement psychique et affectif de ces derniers. En particulier, les difficultés des parties à communiquer ne justifient pas que l'autorité parentale ne soit pas maintenue conjointement et qu'elle soit retirée au père. L'intimée perd, en effet, de vue que depuis la modification des dispositions relatives à l'autorité parentale, l'exercice de celle-ci, sous réserve de circonstances graves et très particulières, doit être maintenu de manière commune, les deux parents devant participer à la prise de décisions – parfois importantes – quant à leurs enfants. L'intimée n'a d'ailleurs ni allégué, ni prouvé, que le bien-être des enfants serait mis en péril, en raison des divergences opposant les parents. Il ne ressort par ailleurs pas de la procédure que l'une des parties avait dû saisir le juge, parce qu'elles ne parvenaient pas à se mettre d'accord concernant les décisions à prendre relatives notamment à la résidence, la scolarité ou les soins médicaux de leurs enfants. Il se justifie en conséquence de maintenir l'autorité parentale conjointe des parties sur leurs deux enfants, solution qui correspond au principe légal actuel. Il leur appartiendra de collaborer à l'avenir pour le bien de leurs enfants, dans l'intérêt manifeste de ceux-ci.</w:t>
      </w:r>
    </w:p>
    <w:p>
      <w:r>
        <w:rPr>
          <w:b/>
        </w:rPr>
        <w:t>E. 4.9</w:t>
      </w:r>
    </w:p>
    <w:p>
      <w:r>
        <w:t>Par conséquent, l'intimée sera déboutée de ses conclusions et le ch. 1 du dispositif de la décision entreprise, confirmé.</w:t>
      </w:r>
    </w:p>
    <w:p>
      <w:r>
        <w:rPr>
          <w:b/>
        </w:rPr>
        <w:t>E. 5</w:t>
      </w:r>
    </w:p>
    <w:p>
      <w:r>
        <w:t>5.1 Selon l'art. 308 al. 2 CC, lorsque les circonstances l'exigent, l'autorité de protection de l'enfant - respectivement le juge dans le cadre d'une procédure de divorce, selon l'art. 315a al. 1 CC - peut conférer à un curateur la surveillance des relations personnelles.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les références citées;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 Selon la jurisprudence, l'institution d'une curatelle destinée à la surveillance du droit de visite suppose qu'un grave danger menace le bien-être de l'enfant : tel est le cas lorsque de sérieuses difficultés sont à craindre en relation avec l'exercice du droit de visite par celui des parents auquel l'autorité parentale n'a pas été confiée et que l'enfant est handicapé ou particulièrement sensible (ATF 108 II 372 , in JdT 1984 I 612; JdT 1995 I 98; JdT 1996 I 326). Un droit de visite surveillé peut être ordonné même en l'absence d'une mise en danger de l'enfant, par exemple en cas d'inexpérience d'un parent quant à la prise en charge d'un jeune enfant afin de renforcer progressivement la relation entre le parent et l'enfant (arrêt du Tribunal fédéral 5A_586/2012 du 12 décembre 2012 consid. 4.2 et 4.3). L'autorité qui ordonne une mesure de protection de l'enfant dispose à cet égard d'un large pouvoir d'appréciation (art. 4 CC; arrêts du Tribunal fédéral 5A_840/2010 du 31 mai 2011 consid. 3.1.2 et 5A_656/2010 du 13 janvier 2011 consid. 3). En outre, il faut que le danger menaçant l'enfant ne puisse être prévenu par les père et mère eux-mêmes (art. 307 al. 1 CC) ni par les mesures plus limitées de l'art. 307 CC (principe de subsidiarité; arrêt du Tribunal fédéral 5C_109/2002 du 11 juin 2002 consid. 2.1, in FamPra 2002 p. 851) et que l'intervention active d'un conseiller apparaisse appropriée pour atteindre ce but (principe de l'adéquation; FamPra 2002, p. 851; arrêt du Tribunal fédéral 5A_839/2008 du 2 mars 2009 consid. 4).</w:t>
      </w:r>
    </w:p>
    <w:p>
      <w:r>
        <w:rPr>
          <w:b/>
        </w:rPr>
        <w:t>E. 5.2</w:t>
      </w:r>
    </w:p>
    <w:p>
      <w:r>
        <w:t>En l'espèce, la situation entre les parents est conflictuelle, ceux-ci se faisant des reproches mutuels concernant, notamment, l'obtention des visas d'entrée en Russie pour permettre au père d'exercer son droit de visite. Ils rencontrent également des difficultés dans l'établissement du calendrier desdites visites. Il ne se justifie toutefois pas d'instaurer une curatelle d'organisation et de surveillance du droit de visite. Comme cela a été relevé ci-avant, l'appelant est en mesure d'exercer régulièrement et de manière suivie son droit de visite sur ses deux enfants, malgré son éloignement géographique. Aucun élément du dossier ne permet de retenir que les enfants seraient placés devant un danger sérieux lors de l'exercice du droit aux relations personnelles de l'appelant. Une incapacité parentale de ce dernier n'a pas été alléguée et ne résulte pas de la procédure. Les dissensions existant entre les parents, tant concernant l'établissement du calendrier des visites, que l'obtention des visas, n'a aucune influence directe sur le bien-être des enfants mineurs. Les parties seraient toutefois bien inspirées, afin que les enfants puissent continuer à entretenir des relations régulières avec leur père, d'instaurer entre elles un dialogue plus constructif. Afin que l'appelant puisse exercer sereinement son droit aux relations personnelles, il appartiendra à l'intimée, comme elle s'y est d'ailleurs engagée, d'effectuer les démarches nécessaires à l'obtention des visas pour les enfants, dès lors qu'elle détient leurs passeports, en tant que gardienne de fait. Une condamnation générale, comme le requiert l'appelant, visant à ordonner à l'intimée de faire établir des visas, annuels, ne trouve par ailleurs aucune assise dans la loi, sans compter que ces visas s'obtiennent sur la base d'invitation de la Fédération de Russie et ne sont pas valables une année durant. Enfin, l'instauration d'une curatelle d'appui éducatif en faveur de l'intimée ne s'impose pas, l'intervention d'un tiers n'apparaissant pas utile.</w:t>
      </w:r>
    </w:p>
    <w:p>
      <w:r>
        <w:rPr>
          <w:b/>
        </w:rPr>
        <w:t>E. 5.3</w:t>
      </w:r>
    </w:p>
    <w:p>
      <w:r>
        <w:t>Le jugement entrepris sera par conséquent confirmé sur ce point également.</w:t>
      </w:r>
    </w:p>
    <w:p>
      <w:r>
        <w:rPr>
          <w:b/>
        </w:rPr>
        <w:t>E. 6</w:t>
      </w:r>
    </w:p>
    <w:p>
      <w:r>
        <w:t>L'appelant sollicite la modification des montants fixés en faveur des enfants par le jugement de divorce, au titre de sa contribution à leur entretien.</w:t>
      </w:r>
    </w:p>
    <w:p>
      <w:r>
        <w:rPr>
          <w:b/>
        </w:rPr>
        <w:t>E. 6.1</w:t>
      </w:r>
    </w:p>
    <w:p>
      <w:r>
        <w:t>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 part, qui servent de fondement pour décider si la situation s'est modifiée de manière durable et importante (arrêt du Tribunal fédéral 5A_487/2010 du 3 mars 2011 consid. 2.1.1.). Ce n'est que si la charge d'entretien devient déséquilibrée entre les parents qu'une modification ou suppression de la contribution d'entretien selon l'art. 286 al. 2 CC peut entrer en considération (ATF 137 III 604 consid. 4.1.1.; 134 III 337 consid. 2.2.2). En principe, l'amélioration de la situation du parent gardien ne peut justifier la diminution de la contribution d'entretien due par l'autre parent en faveur de ses enfants que si le paiement de la pension est pour lui une charge particulièrement lourde. Cette amélioration doit profiter avant tout aux enfants, par des conditions de vie plus favorables, notamment par l'acquisition d'une meilleure formation, et ce en tout cas lorsque cette amélioration est due aux efforts que ledit parent fournit en travaillant davantage (arrêt du Tribunal fédéral 5A_487/2010 du 3 mars 2011 consid. 2.1.2; ATF 108 II 83 ; MICHELI/NORDMANN/JACCOTTET/TISSOT/ CRETTAZ/THONNEY/RIVA, Le nouveau droit du divorce, 1999, n. 405). Cela étant,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6.2</w:t>
      </w:r>
    </w:p>
    <w:p>
      <w:r>
        <w:t>Dans le cas d'espèce, le ménage commun formé par l'intimée avec son compagnon, ainsi que l'augmentation de ses revenus, de même que le mariage de l'appelant le 2 septembre 2014, constituent autant de changements notables et durables de situation, de sorte que c'est à bon droit que le premier juge est entré en matière sur la demande de modification du jugement de divorce, s'agissant de la contribution de l'appelant à l'entretien de ses enfants.</w:t>
      </w:r>
    </w:p>
    <w:p>
      <w:r>
        <w:rPr>
          <w:b/>
        </w:rPr>
        <w:t>E. 7</w:t>
      </w:r>
    </w:p>
    <w:p>
      <w:r>
        <w:t>7.1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(arrêt 5A_511/2010 du 4 février 2011 consid. 2.1).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5A_234/2011 du 21 novembre 2011 consid. 4.4.1 et 5A_220/2010 du 20 août 2010 consid. 2.1). La loi ne prescrit pas de méthode de calcul particulière pour arrêter la contribution d'entretien (ATF 128 III 411 consid. 3.2.2); sa fixation relève de l'appréciation du juge, qui jouit d'un large pouvoir d'appréciation (ATF 127 III 136 consid. 3a; 120 II 285 consid. 3b/bb; arrêt 5A_507/2007 du 23 avril 2008 consid. 5.1) et applique les règles du droit et de l'équité (art. 4 CC;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 arrêts du Tribunal fédéral 5A_874/2014 du 8 mai 2015 consid. 4.2; 5A_892/2013 du 19 juillet 2014 consid. 4.4.3 et les réf. citées).</w:t>
      </w:r>
    </w:p>
    <w:p>
      <w:r>
        <w:rPr>
          <w:b/>
        </w:rPr>
        <w:t>E. 7.2</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 126 III 353 = JdT 2002 I 62; 127 III 68 consid. 2b = JdT 2001 I 562; 127 III 289 consid. 2a/bb = JdT 2002 I 236). Lorsque les enfants vivent dans le foyer d'un époux il peut être tenu compte de leur participation au coût du logement (BASTON BULLETTI, L'entretien après divorce: méthodes de calcul, montant, durée et limites, in : SJ 2007 II 77 p. 85).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Les allocations familiales doivent être retranchées du coût de l'enfant (arrêts du Tribunal fédéral 5A_892/2013 du 29 juillet 2014 consid. 4.4.3; 5A_386/2012 du 23 juillet 2012 consid. 4.2.1; 5A_402/2010 du 10 septembre 2010 consid. 4.2.4).</w:t>
      </w:r>
    </w:p>
    <w:p>
      <w:r>
        <w:rPr>
          <w:b/>
        </w:rPr>
        <w:t>E. 7.3</w:t>
      </w:r>
    </w:p>
    <w:p>
      <w:r>
        <w:t>Dans le présent cas, seuls les revenus des parties lors du prononcé du jugement de divorce sont connus, à l'exception de leurs charges, ainsi que de celles de leurs enfants. L'appelant propose, pour comparer les charges des enfants lors du divorce et celles d'aujourd'hui, de prendre en considération les montants convenus entre les parties à titre d'entretien pour les enfants, soit la contribution en tant que telle, ainsi que la participation aux frais du personnel de maison, aux frais d'écolage et aux frais de vacances. Cette argumentation tombe à faux. Il appartient en effet à l'appelant, demandeur à la procédure de modification, non seulement d'alléguer, mais encore de prouver, le montant des charges des enfants telles qu'elles existaient à l'époque du prononcé du divorce, et celui qui prévaut actuellement. Il ne saurait se fonder sur les sommes versées en faveur de ces enfants, pour tenter de déterminer les charges de ceux-ci. Ce seul constat permet de retenir que l'appelant n'a pas prouvé que les frais de ses enfants auraient diminué de manière notable et durable. Cela étant, même à retenir que tel serait le cas – ce que la Cour ne fera pas – l'appelant doit être débouté de ses conclusions, pour les motifs qui vont suivre. Il est constant que l'intimée vit avec son compagnon, de sorte que ses charges mensuelles ont baissé (montant de base OP au moment du divorce : 1'350 fr. alors que ce montant de base OP est de 850 fr. aujourd'hui (1'700 fr. pour un couple / 2), loyer de 1'592 fr. 50 à l'époque (2'275 fr. moins 30% à imputer aux charges des enfants) alors qu'actuellement aucun loyer n'est payé). Il est également admis par les parties que le salaire mensuel de l'intimée a augmenté, dès lors qu'il s'élevait à 16'500 fr. brut en 2012, à 19'938 fr. 50 en 2013 et, à tout le moins à 19'711 fr. 45 en 2014 (18'195 fr. 20 x 13 mois / 12), l'intimée n'ayant pas versé à la procédure d'autres pièces plus récentes. Cette augmentation représente approximativement 35% (16'500 fr. brut – 13% environ de charges = 14'355 fr., par rapport à 19'711 fr.). Au moment du divorce en janvier 2013, l'appelant réalisait, de son côté, un revenu annuel brut de 350'000 fr., auquel s'ajoutaient un bonus annuel (dont le montant n'est pas connu), ainsi que 100'000 fr. à titre d'indemnité. Depuis juin 2014, son salaire mensuel brut, payé douze fois l'an, est de 29'167 fr. et il perçoit également un bonus de 100'000 fr., ainsi qu'un bonus en fonction du chiffre d'affaires et le remboursement de frais professionnels. L'appelant n'a toutefois pas produit de pièces relatives audit bonus et au remboursement de ses frais, de sorte qu'ils ne peuvent pas être chiffrés précisément. La Cour retiendra toutefois que l'appelant bénéficie d'un revenu annuel brut actuel, hors bonus et remboursement, de 350'004 fr. (29'167 fr. x 12) équivalent à celui prévalant lors du divorce, de sorte que ses ressources n'ont pas diminué. Comme déjà mentionné supra sous ch. 7.3 ab initio, l'appelant n'a ni allégué, ni prouvé le montant de ses charges de l'époque ni de celles qu'il assume aujourd'hui, de sorte qu'il n'est pas possible de les établir. Les charges des deux enfants des parties au moment du divorce ne ressortent pas non plus de la convention conclue par les parties, ni d'autres pièces du dossier. Les charges mensuelles admissibles actuelles de D_____ se composent du montant de base OP de 400 fr., de 1'015 fr. de frais de garde (2'000 fr. + 30 fr. (364 fr. / 12) / 2 = 1'015 fr. par enfant), de 34 fr. 35 de frais de musique (412 fr. 25 / 12), de 20 fr. 85 de cotisation au tennis (250 fr. / 12), de 23 fr. 35 de cours de tennis (280 fr. /12), de 1'653 fr. 10 de frais de scolarité (19'837 fr. / 12), de 162 fr. 15 de prime d'assurance maladie, de 20 fr. 85 de cotisation à la voile (250 fr. / 12), de 10 fr. de cours de voile (120 fr. / 12) et de 55 fr. par mois de cours créatifs, sous déduction de 300 fr. d'allocations familiales, de sorte qu'elles sont de 3'095 fr. arrondis. Les charges de C_____ comprennent le montant de base OP de 400 fr., 1'015 fr. de frais de garde, 34 fr. 35 de frais de musique (412 fr. 25 / 12), 20 fr. 85 de cotisation au tennis (250 fr. / 12), 23 fr. 35 de cours de tennis (280 fr. /12), 145 fr. 40 de cours de piano (1'745 fr. / 12), 1'846 fr. 95 de frais de scolarité (22'163 fr. 60 / 12), 148 fr. 95 de prime d'assurance maladie, 20 fr. 85 de cotisation à la voile (250 fr. / 12), 10 fr. de cours de voile (120 fr. / 12) et 44 fr. de cours créatifs, sous déduction de 300 fr. d'allocations familiales, soit un total de 3'410 fr. arrondis. L'appelant n'a pas démontré que le paiement des pensions dues en faveur de ses enfants représenterait une charge particulièrement lourde pour son budget. Même à prendre en considération les charges actuelles alléguées – mais non prouvées – par l'appelant, soit un loyer de 8'000 fr. pour l'appartement qu'il occupe à _____ (Russie), 2'000 fr. à titre de contribution à un fond de pension, 1'500 € de remboursement d'une dette (1'624 fr.), 650 € de prime d'assurance maladie (703 fr.) et 2'500 $ (2'385 fr.) de frais de prise en charge de son épouse actuelle, représentant 14'712 fr. par mois, l'appelant dispose encore de plus de 10'600 fr. (29'167 fr. bruts sous déduction d'environ 13% de charges sociales = 25'375 fr.), pour régler sa contribution à l'entretien de chaque enfant de 2'000 fr. par mois, ainsi que ses participations mensuelles de respectivement 2'000 fr. à l'écolage, 1'000 fr. aux frais du personnel de maison, 500 fr., aux activités extrascolaires et 500 fr. pour les vacances, représentant au total de 8'000 fr. par mois. Après versement de l'ensemble des montants qui précède, l'appelant bénéficie encore d'un solde de plus de 2'600 fr. mensuellement. Ainsi, l'amélioration de la situation financière de la mère des enfants doit-elle profiter en premier lieu à ceux-ci et ne justifie pas de modifier les contributions et autres participations en leur faveur convenues par les parties lors du prononcé du divorce.</w:t>
      </w:r>
    </w:p>
    <w:p>
      <w:r>
        <w:rPr>
          <w:b/>
        </w:rPr>
        <w:t>E. 7.4</w:t>
      </w:r>
    </w:p>
    <w:p>
      <w:r>
        <w:t>Par conséquent, c'est à bon droit que le Tribunal a débouté l'appelant de ses conclusions en modification du jugement de divorce. Le ch. 5 du dispositif de la décision querellée sera, partant, confirmé et l'appelant débouté de ses conclusions.</w:t>
      </w:r>
    </w:p>
    <w:p>
      <w:r>
        <w:rPr>
          <w:b/>
        </w:rPr>
        <w:t>E. 8</w:t>
      </w:r>
    </w:p>
    <w:p>
      <w:r>
        <w:t>Il s'ensuit que le jugement entrepris sera intégralement confirmé.</w:t>
      </w:r>
    </w:p>
    <w:p>
      <w:r>
        <w:rPr>
          <w:b/>
        </w:rPr>
        <w:t>E. 9</w:t>
      </w:r>
    </w:p>
    <w:p>
      <w:r>
        <w:t>9.1 Si l'instance d'appel statue à nouveau, elle se prononce sur les frais de première instance (art. 318 al. 3 CPC), ce qui n'est pas le cas en l'espèce, étant toutefois relevé que la fixation et la répartition des frais fixés par le premier juge, ont été décidées en conformité avec le Règlement fixant le tarif des greffes en matière civile (RTFMC - E 1 05.10).</w:t>
      </w:r>
    </w:p>
    <w:p>
      <w:r>
        <w:rPr>
          <w:b/>
        </w:rPr>
        <w:t>E. 9.2</w:t>
      </w:r>
    </w:p>
    <w:p>
      <w:r>
        <w:t>La Cour statue sur les frais judiciaires et les répartit d'office (art. 104 et 105 CPC).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9.3</w:t>
      </w:r>
    </w:p>
    <w:p>
      <w:r>
        <w:t>En l'espèce, les frais judiciaires de la présente décision seront fixés à 4'750 fr. (art. 2, 30 et 35 RTFMC), entièrement compensés avec les avances fournies par les parties, acquises à l'Etat (art. 111 al. 1 CPC). Dès lors que chacune des parties succombe sur un point essentiel, soit sur la contribution à l'entretien des enfants pour l'appelant, et sur l'autorité parentale pour l'intimée, ils seront mis à charge des parties pour moitié chacune, représentant 2'375 fr. L'appelant ayant versé une avance de frais de 3'750 fr., l'intimée sera en conséquence condamnée à lui verser le montant de 1'375 fr. Vu la nature familiale du litige et par souci d'apaisement, chaque partie gardera pour le surplus à sa charge ses propres dépens. * * * * * PAR CES MOTIFS, La Chambre civile : A la forme : Déclare recevable l'appel interjeté le 27 février 2015 par A_____ contre les ch. 5 à 8 du dispositif du jugement JTPI/1205/2015 rendu le 26 janvier 2015 par le Tribunal de première instance dans la cause C/24504/2013-6, et l'appel joint formé le 23 avril 2015 par B_____ contre les ch. 1 à 4 du dispositif de ce jugement. Au fond : Confirme ce jugement. Déboute les parties de toutes autres conclusions. Sur les frais : Arrête les frais judiciaires à 4'750 fr., compensés avec les avances de frais fournies par les parties, acquises à l'Etat. Les met à la charge de A_____ à hauteur de 2'375 fr. et à la charge d'B_____ à hauteur de 2'375 fr. Condamne en conséquence B_____ à verser 1'375 fr. à A_____. Dit que chacune des parties supporte ses propres dépens. Siégeant : Madame Valérie LAEMMEL-JUILLARD, présidente; Madame Sylvie DROIN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