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C/24449/2014 vom 28. November 2016</w:t>
      </w:r>
    </w:p>
    <w:p>
      <w:r>
        <w:t>GE Cour de justice, 2016-11-28, FR</w:t>
      </w:r>
    </w:p>
    <w:p>
      <w:r>
        <w:rPr>
          <w:b/>
        </w:rPr>
        <w:t xml:space="preserve">Quelle: </w:t>
      </w:r>
      <w:r>
        <w:t>https://mcp.opencaselaw.ch/entscheid/ge_gerichte_C_24449_2014</w:t>
      </w:r>
    </w:p>
    <w:p>
      <w:r>
        <w:t>FR: GE_GERICHTE C/24449/2014 du 28 novembre 2016</w:t>
      </w:r>
    </w:p>
    <w:p>
      <w:r>
        <w:t>IT: GE_GERICHTE C/24449/2014 del 28 novembre 2016</w:t>
      </w:r>
    </w:p>
    <w:p>
      <w:pPr>
        <w:pStyle w:val="Heading2"/>
      </w:pPr>
      <w:r>
        <w:t>Regeste</w:t>
      </w:r>
    </w:p>
    <w:p>
      <w:r>
        <w:t>RÉSILIATION ; BAIL À LOYER; LOCAL PROFESSIONNEL ; USAGE PERSONNEL ; BAILLEUR(BAIL À LOYER) | CO.271.1; CO.272;</w:t>
      </w:r>
    </w:p>
    <w:p>
      <w:pPr>
        <w:pStyle w:val="Heading2"/>
      </w:pPr>
      <w:r>
        <w:t>Erwägungen</w:t>
      </w:r>
    </w:p>
    <w:p>
      <w:r>
        <w:rPr>
          <w:b/>
        </w:rPr>
        <w:t>E. 2</w:t>
      </w:r>
    </w:p>
    <w:p>
      <w:r>
        <w:t>ème édition, n. 6, ad art. 271). Toute résiliation qui ne repose sur aucun intérêt digne de protection, qui consacre une attitude déloyale, qui résulte d’une disproportion manifeste entre les intérêts en présence ou dont le motif est manifestement un prétexte, tombe sous le coup de l’art. 271 al. 1 CO (LACHAT, op. cit, loc cit.). Ainsi, le congé doit être considéré comme abusif s’il ne répond à aucun intérêt objectif, sérieux et digne de protection, s’il est purement chicanier ou encore fondé sur un motif qui n’est manifestement qu’un prétexte. La protection ainsi conférée procède à la fois du principe de la bonne foi et de l’interdiction de l’abus de droit, respectivement consacrés par les alinéas 1 et 2 de l’art. 2 CC; il n’est toutefois pas nécessaire que l’attitude de la partie donnant le congé à l’autre constitue un abus de droit « manifeste » aux termes de cette dernière disposition (ATF 136 III 190 , consid. 2).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mais pour autant qu’il n’existe pas une disproportion manifeste des intérêts en présence (arrêt du Tribunal fédéral 4A_300/2010 du 2 septembre 2010). Plus particulièrement, un congé donné par un bailleur qui entend disposer des locaux pour lui-même ou les mettre à disposition de membres de sa famille ou de proches ne contrevient pas aux règles de la bonne foi, même si le besoin invoqué n’est ni immédiat, ni urgent. On ne saurait en effet imposer à un propriétaire d’attendre le moment où le besoin se concrétise, compte tenu du temps habituellement nécessaire pour récupérer effectivement un appartement après une résiliation. Même le fait qu’un bailleur soit propriétaire de plusieurs immeubles n’implique pas nécessairement que la résiliation d’un contrat de bail pour ses besoins propres soit contraire aux règles de la bonne foi ( ACJC/1273/2005 du 14 novembre 2005). La partie qui demande l’annulation du congé doit rendre à tout le moins vraisemblable la mauvaise foi de sa partie adverse, alors que la partie qui a résilié le bail a le devoir de contribuer loyalement à la manifestation de la vérité en fournissant tous les éléments en sa possession nécessaires à la vérification du motif invoqué par elle. Le bailleur n’a pas à démontrer sa bonne foi car cela reviendrait à renverser le fardeau de la preuve. Faute de preuve par le locataire de son caractère abusif, le congé est valable ( ACJC/1154/2009 ). 3.2 En l’espèce, le locataire n’a pas démontré que la résiliation était abusive et contrevenait aux règles de la bonne foi. La mauvaise foi de la bailleresse n’a pas été démontrée. La résiliation repose sur un intérêt digne de protection, à savoir l’exercice par la bailleresse de ses activités professionnelles dans les locaux litigieux. Il n’a pas non plus été démontré que la bailleresse avait adopté une attitude déloyale, ni que la résiliation résultait d’une disproportion manifeste entre les intérêts en présence ou que le motif était manifestement un prétexte. En outre, il n’a pas non plus été démontré que le congé est purement chicanier. Au vu des éléments, il apparaît au contraire que le congé répond à un intérêt objectif, sérieux et digne de protection. Il résulte de la procédure que les baux des autres locataires ont également été résiliés et que la bailleresse a d’ores et déjà commencé à s’installer dans les locaux. Elle a par ailleurs durant la procédure installé plusieurs machines et des employés travaillent dans les locaux qu’elle occupe. Le fait qu’elle n’ait pas prouvé faire l’objet de plaintes à 2______ et qu’elle entende y développer un projet immobilier ne saurait être constitutif d’un abus de droit. C’est dès lors à bon droit que le Tribunal a déclaré que le congé était valable. Le chiffre 1 du dispositif du jugement sera en conséquence confirmé.</w:t>
      </w:r>
    </w:p>
    <w:p>
      <w:r>
        <w:rPr>
          <w:b/>
        </w:rPr>
        <w:t>E. 4</w:t>
      </w:r>
    </w:p>
    <w:p>
      <w:r>
        <w:t>Selon l’appelant, le Tribunal a également violé l’art. 272 al. 1 CO, en lui accordant, à tort, une prolongation unique d’une année de son bail, soit jusqu’au 31 août 2018. Selon l’intimée, le Tribunal a violé l’art. 272 al. 1 et 2 CO, ainsi que l’art. 4 CC en accordant une prolongation de bail. Selon elle, aucune prolongation n’était justifiée.</w:t>
      </w:r>
    </w:p>
    <w:p>
      <w:r>
        <w:rPr>
          <w:b/>
        </w:rPr>
        <w:t>E. 4.1</w:t>
      </w:r>
    </w:p>
    <w:p>
      <w:r>
        <w:t>Aux termes de l’art. 272 al. 1 CO, le locataire peut demander une prolongation de bail lorsque la fin du bail aurait pour lui ou sa famille des conséquences pénibles sans que les intérêts du bailleur le justifient. S’agissant des conséquences pénibles du congé, la jurisprudence fédérale précise que les suites de la résiliation d’un contrat de bail et du changement de locaux ne constituent pas à elles seules les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p. 198; 102 II 254). Si le locataire a procédé, à ses risques et périls, à des investissements, la perte de la possibilité de les amortir n’est pas constitutive de conséquences pénibles (arrêt du Tribunal fédéral 4A_22/2015 du 11 mai 2015; Commentaire SVIT, Le droit suisse du bail à loyer, 2011, n. 43 et 28 ad art. 272 CO). Quant au montant du loyer, le locataire à la recherche d’un objet loué équivalant à celui qu’il doit quitter est tenu d’accepter de payer un loyer usuel pour la catégorie d’objets loués considérée, à moins que celui-ci puisse être qualifié d’abusif; s’il limite d’emblée le montant de son futur loyer, le locataire doit accepter les locaux qui en représentent la contrepartie équitable et usuelle; de même, il ne saurait refuser de déménager dans un endroit où il est moins connu de la clientèle car un tel inconvénient - lié à la résiliation elle-même - ne constitue pas en soi une conséquence pénible au sens de la loi (arrêt du Tribunal fédéral non publié du 18 avril 1994 C c/ X. SA).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 1; 110 II 254 = JT 1985 I 265 -266; 102 II 254 = JT 1977 I 558 ).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Lorsqu’il s’agit de locaux commerciaux, la durée maximale de la prolongation est de six ans; dans cette limite, le juge peut accorder une ou deux prolongations (art. 272b al. 1 CO). Ce choix doit lui permettre de choisir la solution la plus adaptée aux circonstances (arrêt du Tribunal fédéral 4A_105/2009 du 5 juin 2009, consid. 3.1 avec référence au Message du Conseil fédéral). Le juge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4A_105/2009 précité consid. 3.2). Dans un arrêt récent (arrêt du Tribunal fédéral 4A_386/2014 du 11 novembre 2014), le Tribunal fédéral a rappelé que le pouvoir d’appréciation dont disposait le juge ne signifiait pas qu’il pouvait décider à sa guise mais qu’il devait, au contraire, motiver son choix et exposer dans son jugement les motifs ayant emporté sa conviction (ATF 131 III 26 consid. 12.2.2 et les arrêts cités). Procéder par deux prolongations successives se justifie lorsqu’il existe une incertitude caractérisée sur la situation à la fin de la première période de prolongation (HIGI, Zürcher Kommentar, n. 35 et 36 ad art. 272b CO). A titre d’exemple, le Tribunal fédéral a ainsi admis la nécessité de procéder par cette voie dans un cas où un projet se heurterait à une vive résistance et qu’il y avait donc la plus grande incertitude sur le moment où l’autorisation d’ouvrir le chantier serait donnée (arrêt du Tribunal fédéral 4A_621/2009 du 25 février 2010).</w:t>
      </w:r>
    </w:p>
    <w:p>
      <w:r>
        <w:rPr>
          <w:b/>
        </w:rPr>
        <w:t>E. 4.2</w:t>
      </w:r>
    </w:p>
    <w:p>
      <w:r>
        <w:t>En l’occurrence, le locataire occupe les locaux depuis un peu plus de quatre ans. Le congé lui a été notifié plus de deux ans et demi avant son échéance. En outre, il n’a produit aucune preuve concernant ses recherches de locaux de remplacement. Le locataire n’a pas démontré que ses critères de recherche seraient à ce point particuliers qu’ils l’empêcheraient de trouver un local adéquat durant la période relativement longue allant de la résiliation du bail le 12 novembre 2014 pour son échéance le 31 août 2017. Ainsi, durant ce laps de temps, le locataire devrait pouvoir trouver des locaux convenables, pour autant qu’il entreprenne les recherches nécessaires. D’un autre côté, le besoin de la bailleresse n’est pas véritablement urgent. En conséquence, une unique prolongation de bail d’une année, échéant au 31 août 2018, concilie de manière équitable les intérêts opposés des parties. Le chiffre 2 du dispositif du jugement sera en conséquence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29 avril 2016 par A______ contre les chiffres 1 et 2 du jugement JTBL/219/2016 rendu le 10 mars 2016 par le Tribunal des baux et loyers dans la cause C/24449/2014-2. Déclare recevable l'appel joint interjeté le 2 juin 2016 par C______ contre le chiffre 2 de ce jugement. Au fond : Confirme ce jugement. Dit que la procédure est gratuite. Déboute les parties de toutes autres conclusions. Siégeant : Madame Nathalie LANDRY-BARTHE, présidente; Madame Sylvie DROIN, Monsieur Laurent RIEBEN, juges; Madame Laurence CRUCHON,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