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C/24338/2021 vom 27. Januar 2022</w:t>
      </w:r>
    </w:p>
    <w:p>
      <w:r>
        <w:t>GE Cour de justice, 2022-01-27, FR</w:t>
      </w:r>
    </w:p>
    <w:p>
      <w:r>
        <w:rPr>
          <w:b/>
        </w:rPr>
        <w:t xml:space="preserve">Quelle: </w:t>
      </w:r>
      <w:r>
        <w:t>https://mcp.opencaselaw.ch/entscheid/ge_gerichte_C_24338_2021</w:t>
      </w:r>
    </w:p>
    <w:p>
      <w:r>
        <w:t>FR: GE_GERICHTE C/24338/2021 du 27 janvier 2022</w:t>
      </w:r>
    </w:p>
    <w:p>
      <w:r>
        <w:t>IT: GE_GERICHTE C/24338/2021 del 27 gennaio 2022</w:t>
      </w:r>
    </w:p>
    <w:p>
      <w:pPr>
        <w:pStyle w:val="Heading2"/>
      </w:pPr>
      <w:r>
        <w:t>Volltext</w:t>
      </w:r>
    </w:p>
    <w:p>
      <w:r>
        <w:t>Genève Cour de Justice (Cour civile) Chambre civile (Sommaires) 27.01.2022 C/24338/2021</w:t>
      </w:r>
    </w:p>
    <w:p>
      <w:r>
        <w:t>C/24338/2021 ACJC/120/2022 du 27.01.2022 sur SQ/1097/2021 ( SQP ) , CONFIRME En fait En droit Par ces motifs RÉPUBLIQUE ET CANTON DE GENÈVE POUVOIR JUDICIAIRE C/24338/2021 ACJC/120/2022 ARRÊT DE LA COUR DE JUSTICE Chambre civile DU JEUDI 27 JANVIER 2022 Entre Monsieur A______ , domicilié ______, France, recourant contre une ordonnance rendue par la 4 ème Chambre du Tribunal de première instance de ce canton le 14 décembre 2021, comparant en personne. EN FAIT A. Par ordonnance SQ/1057/2021 du 14 décembre 2021, le Tribunal de première instance a rejeté la requête de séquestre [déposée le 13 décembre 2021 par A______ à l'encontre de B______] (ch. 1 du dispositif), mis les frais, arrêtés à 200 fr. et compensés avec l'avance fournie, à la charge de A______ (ch. 2 et 3). En substance, le Tribunal a considéré que A______ n'avait fourni aucune preuve attestant de ce que la débitrice serait employée de C______ SA. L'existence de biens appartenant à la débitrice, situés en Suisse, n'était donc pas rendue vraisemblable. B. Par acte expédié le 22 décembre 2021 à la Cour de justice, confirmé par courrier du 18 janvier 2022 A______, forme recours contre l'ordonnance précitée, qu'il a reçue le 20 décembre 2021, sollicitant que le séquestre soit ordonné. Il produit des pièces nouvelles soit un extrait d'un bordereau fiscal du 3 février 2021 adressé à B______ "c/o C______ SA", ainsi que les décomptes de salaire de cette dernière, de janvier à octobre 2021, établis par C______. Il expose que ces documents ont été transmis au Tribunal quelques semaines auparavant dans le cadre de son divorce. Lors de sa requête initiale, il pensait « que le Tribunal vérifiait dans sa base de données interne relative au jugement et procédure dans lequel sont mentionnés l'employeur de [son] ex-femme et la véracité de [s]es déclarations ». C. Les faits suivants ressortent du dossier. a. Par jugement du 19 mars 2009, le Tribunal, statuant sur requête commune, a dissous par le divorce le mariage contracté le ______ 2001 par A______ et B______ et notamment statué sur le sort et l'entretien de leurs enfants. Il était ainsi donné acte au père de ce qu'il s'engageait à verser, par mois, d'avance et par enfant, allocations familiales et d'études non comprises, les sommes de 470 fr. jusqu'à l'âge de 10 ans, de 575 fr. de 10 ans à 15 ans et de 670 fr. de 15 ans jusqu'à la majorité, voire au-delà mais jusqu'à 25 ans au plus tard, en cas de poursuite d'une formation professionnelle ou d'études sérieuses et régulières (ch. 5 du dispositif). Dans ce jugement, le Tribunal a retenu que B______ travaillait à 80 % en qualité d'opératrice chez C______. b. Le 13 août 2018, B______ a sollicité la modification de ce jugement. Par jugement du 10 janvier 2020, le Tribunal, entérinant les conclusions d'accord déposées par les parties le 23 décembre 2019, a partiellement modifié le jugement rendu le 19 mars 2009, notamment le chiffre 5 du dispositif, en donnant acte à A______ de son engagement de verser, dès le mois d'octobre 2019, par mois, d'avance et par enfant, allocations familiales et d'études non comprises, à titre de contribution à l'entretien des deux enfants mineures, les sommes de 700 fr. jusqu'à l'âge de 15 ans révolus, puis de 800 fr. de 15 ans jusqu'à 18 ans et jusqu'à 25 ans au plus tard en cas de formation professionnelle ou d'études sérieuses et régulières. c. Motif pris du démémagement en France de B______ avec les enfants, A______ a formé appel contre ce jugement. Par arrêt ACJC/1501/2020 du 16 octobre 2020, la Cour de justice a annulé le chiffre 5 du dispositif du jugement attaqué, et, cela fait, renvoyé la cause au Tribunal pour suite d'instruction et nouvelle décision sur la contribution due à l'entretien des enfants. Elle a arrêté les frais judiciaires d'appel à 2'000 fr., mis à la charge de B______, laquelle a été condamnée à verser à A______ la somme de 1'000 fr. à titre de remboursement de l'avance de frais et celle de 1'500 fr. à titre de dépens. d. Par requête déposée au Tribunal le 13 décembre 2021, A______, agissant en personne à l'encontre de B______, a sollicité « le séquestre sur salaire » à concurrence de 1'000 fr. et 1'500 fr., plus intérêts dès le 16 octobre 2020, le titre de créance étant l'arrêt de la Cour ACJC/1501/2020 du 16 octobre 2020, joint à la requête.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dans le délai prescrits, le présent recours, interprété avec indulgence car rédigé par un justiciable en personne, est recevable. 1.3 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 1.4 La procédure de séquestre est soumise dans toutes ses phases à la maxime de disposition et à la maxime des débats (art. 58 al. 2 CPC; art. 255 CPC a contrario). 1.5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 2. Le recourant a produit des pièces nouvelles. 2.1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2.2 Les pièces nouvelles du recourant sont irrecevables. 3. Le recourant fait grief au Tribunal d'avoir considéré que l'existence de biens en Suisse n'était pas rendue vraisemblable. 3.1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ch. 6 LP prévoit notamment que le créancier de la dette échue et non garantie par gage peut requérir le séquestre des biens du débiteur qui se trouvent en Suisse lorsque le créancier possède contre le débiteur, un titre de mainlevée définitive.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3ème éd. N. 78, p. 261). 3.2 En l'espèce, c'est à bon droit que le Tribunal a refusé d'ordonner le séquestre requis par le recourant. La requête ne contenait en effet aucun élément relatif à la créance à séquestrer, la seule mention de "salaire" étant insuffisante à cet égard. Certes, il ressortait de l'arrêt produit avec la requête que la débitrice était employée de C______, mais plus de dix ans auparavant, soit à la date du jugement de divorce en 2009. Il n'était pas allégué qu'elle y travaillait encore. Compte tenu de la maxime des débats applicable, il n'appartenait au Tribunal d'effectuer des recherches sur ce point, fut-ce dans le cadre d'autres procédures dont il était saisi. Le grief est infondé, de sorte que le recours sera rejeté. 4. Le recourant, qui succombe, sera condamné aux frais judiciaires du recours, arrêtés à 300 fr. (art. 48 et 61 al. 1 OELP). * * * * * PAR CES MOTIFS, La Chambre civile : A la forme : Déclare recevable le recours interjeté par A______ le 22 décembre 2021 contre l’ordonnance SQ/1097/2021 rendue le 14 décembre 2021 par le Tribunal de première instance dans la cause C/24338/2021-4 SQP. Au fond : Le rejette. Sur les frais : Arrête les frais judiciaires du recours à 300 fr. et les met à la charge de A______. Condamne A______ à verser à l'Etat de Genève, soit pour lui les Services financiers du Pouvoir judiciaire, la somme de 300 fr. Siégeant : Madame Pauline ERARD, présidente; Madame Nathalie LANDRY-BARTHE et Madame Sylvie DROIN,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