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C/24266/2013 vom 17. März 2014</w:t>
      </w:r>
    </w:p>
    <w:p>
      <w:r>
        <w:t>GE Cour de justice, 2014-03-17, FR</w:t>
      </w:r>
    </w:p>
    <w:p>
      <w:r>
        <w:rPr>
          <w:b/>
        </w:rPr>
        <w:t xml:space="preserve">Quelle: </w:t>
      </w:r>
      <w:r>
        <w:t>https://mcp.opencaselaw.ch/entscheid/ge_gerichte_C_24266_2013</w:t>
      </w:r>
    </w:p>
    <w:p>
      <w:r>
        <w:t>FR: GE_GERICHTE C/24266/2013 du 17 mars 2014</w:t>
      </w:r>
    </w:p>
    <w:p>
      <w:r>
        <w:t>IT: GE_GERICHTE C/24266/2013 del 17 marzo 2014</w:t>
      </w:r>
    </w:p>
    <w:p>
      <w:pPr>
        <w:pStyle w:val="Heading2"/>
      </w:pPr>
      <w:r>
        <w:t>Regeste</w:t>
      </w:r>
    </w:p>
    <w:p>
      <w:r>
        <w:t>MAINLEVÉE PROVISOIRE; EFFET SUSPENSIF | LP.82.1; LP.82.2; CO.197.1</w:t>
      </w:r>
    </w:p>
    <w:p>
      <w:pPr>
        <w:pStyle w:val="Heading2"/>
      </w:pPr>
      <w:r>
        <w:t>Erwägungen</w:t>
      </w:r>
    </w:p>
    <w:p>
      <w:r>
        <w:rPr>
          <w:b/>
        </w:rPr>
        <w:t>E. 1</w:t>
      </w:r>
    </w:p>
    <w:p>
      <w:r>
        <w:t>S'agissant d'une procédure de mainlevée, seule la voie du recours est ouverte (art. 319 lit. b et 309 lit b ch. 3 CPC).![endif]&gt;![if&gt; Aux termes de l'art. 321 al. 1 et 2 CPC, le recours, écrit et motivé, doit être introduit auprès de l'instance de recours dans les dix jours à compter de la notification de la décision motivée, pour les décisions prises en procédure sommaire. Déposé dans les forme et délai prévus par la loi, le recours est ainsi recevable.</w:t>
      </w:r>
    </w:p>
    <w:p>
      <w:r>
        <w:rPr>
          <w:b/>
        </w:rPr>
        <w:t>E. 2</w:t>
      </w:r>
    </w:p>
    <w:p>
      <w:r>
        <w:t>Dans le cadre d'un recours, l'autorité a un plein pouvoir d'examen en droit, mais un pouvoir limité à l'arbitraire en fait (art. 320 CPC; HOHL, Procédure civile, tome II, 2 ème édition, 2010, n° 2307).![endif]&gt;![if&gt; La procédure de mainlevée étant instruite en procédure sommaire (art. 251 lit. a CPC), la maxime des débats s'applique (art. 55 al. 1, art. 255 lit. a a contrario CPC) et la preuve des faits allégués doit être apportée par titres (art. 254 CPC).</w:t>
      </w:r>
    </w:p>
    <w:p>
      <w:r>
        <w:rPr>
          <w:b/>
        </w:rPr>
        <w:t>E. 3</w:t>
      </w:r>
    </w:p>
    <w:p>
      <w:r>
        <w:t>La recourante reproche au premier juge d'avoir admis à tort l'existence d'un titre de mainlevée malgré les défauts affectant le matériel livré. A titre subsidiaire, elle lui fait grief d'avoir écarté l'exception de compensation qu'elle avait soulevée en relation avec sa créance en remboursement des frais causés par la livraison d'un matériel défectueux.![endif]&gt;![if&gt;</w:t>
      </w:r>
    </w:p>
    <w:p>
      <w:r>
        <w:rPr>
          <w:b/>
        </w:rPr>
        <w:t>E. 3.1</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N'importe quel contrat synallagmatique, dès qu'il impose le paiement d'une somme d'argent, peut constituer une reconnaissance de dette : il en va ainsi notamment du contrat de vente, pour autant que le vendeur ait livré la chose vendue (KRAUSKOPF, "La mainlevée provisoire : quelques jurisprudences récentes", in JdT 2008 II 23, p. 31). La procédure de mainlevée, provisoire ou définitive, est un incident de la poursuite : il s'agit d'une procédure sur pièces qui n'a pas pour objet de statuer sur la réalité de la prétention en poursuite (ATF 136 III 583 consid. 2.3; 133 III 645 consid. 5.3; 133 III 399 consid. 1.5). Le juge de la mainlevée examine uniquement la force probante du titre produit par le créancier, sa nature formelle, et non la validité de la créance, et il lui attribue force exécutoire si le débiteur ne rend pas immédiatement vraisemblables ses moyens libératoires (ATF 139 III 444 consid. 4.1.1; 132 III 140 consid. 4.1.1; arrêt du Tribunal fédéral 5D_195/2013 du 22 janvier 2014, consid. 3.1). Conformément à l'art. 82 al. 2 LP, le juge prononce la mainlevée provisoire si le débiteur ne rend pas immédiatement vraisemblable sa libération. Le débiteur n'a donc pas à apporter la preuve stricte de ses moyens libératoires, mais seulement à établir leur vraisemblance, en principe par titres (art. 254 al. 1 CPC).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Le poursuivi peut se prévaloir de tous les moyens issus du droit civil, exceptions ou objections, qui infirment la reconnaissance de dette (ATF 131 III 268 consid. 3.2), notamment l'existence de défauts et la compensation. S'agissant de ce dernier moyen, il doit rendre vraisemblable non seulement son droit d'opposer la compensation (cf. art. 125 CO), mais aussi la cause et le montant de la créance invoquée en compensation (arrêt du Tribunal fédéral 5D_147/2011 du 10 novembre 2011 consid. 3).</w:t>
      </w:r>
    </w:p>
    <w:p>
      <w:r>
        <w:rPr>
          <w:b/>
        </w:rPr>
        <w:t>E. 3.2</w:t>
      </w:r>
    </w:p>
    <w:p>
      <w:r>
        <w:t>La recourante, à juste titre, ne conteste plus que les offres des 15 et 20 août 2012 ainsi que le rapport d'intervention du 15 octobre 2012, tous trois mentionnant le prix des prestations et contresignés pour accord par elle-même, valent en principe reconnaissances de dette pour les montants en poursuite. Elle ne conteste pas davantage que le matériel commandé ait effectivement été livré, respectivement que l'assistance technique décrite dans le rapport d'intervention du 15 octobre 2012 ait effectivement été apportée.</w:t>
      </w:r>
    </w:p>
    <w:p>
      <w:r>
        <w:rPr>
          <w:b/>
        </w:rPr>
        <w:t>E. 3.3</w:t>
      </w:r>
    </w:p>
    <w:p>
      <w:r>
        <w:t>Elle invoque cependant une exécution défectueuse de ses obligations contractuelles par l'intimée, l'installation n'ayant selon la recourante jamais fonctionné à satisfaction. Il résulte de l'offre formulée le 15 août 2012 par l'intimée, offre acceptée par la recourante, que la première s'engageait à livrer à la seconde un certain nombre de composants destinés à un système de vidéo-interphones, ainsi qu'à fournir, contre rémunération supplémentaire, une assistance technique pour le "Hardware" et le "Software" . La relation contractuelle entre les parties doit donc être qualifiée, sur la base des pièces produites, de contrat de vente, au sens des art.184 ss. CO. Sous réserve de dispositions contractuelles contraires, non alléguées, l'intimée assume, conformément à l'art. 197 al. 1 CO, une obligation de garantie pour l'absence de qualités promises ou les défauts matériels ou juridiques de la chose vendue (art.197 al. 1 CO). Si la cas de garantie est réalisé, et que les incombances à la charge de l'acheteur sont respectées, celui-ci a le choix entre demander la résiliation de la vente ou la diminution du prix (art. 205 al. 1 CO), la possibilité de demander des dommages et intérêts pour mauvaise exécution (art. 97 CO) subsistant dans tous les cas (ATF 133 III 335 consid. 2). La recourante est donc en droit, sur le principe, d'opposer à la requête de mainlevée ses prétentions tirées de l'existence de défauts de la chose vendue, que ce soit sous forme d'une prétention minutoire ou sous celle de la compensation avec des prétentions en dommages et intérêts.</w:t>
      </w:r>
    </w:p>
    <w:p>
      <w:r>
        <w:rPr>
          <w:b/>
        </w:rPr>
        <w:t>E. 3.4</w:t>
      </w:r>
    </w:p>
    <w:p>
      <w:r>
        <w:t>Encore faut-il, pour qu'il soit fait droit à son argumentation aussi bien principale que subsidiaire, que l'existence de tels défauts soit rendue vraisemblable par la recourante (cf. à cet égard KRAUSKOPF, op. cit., p. 33). C'est en vain à cet égard que celle-ci soutient qu'il lui suffirait d'alléguer l'existence d'un défaut pour obtenir gain de cause, à moins que son affirmation soit manifestement sans fondement ou que le créancier soit en mesure de l'infirmer immédiatement par des documents. Les jurisprudences citées à l'appui de cette thèse concernent en effet le droit du débiteur de ne pas s'exécuter en cas d'inexécution ou d'exécution imparfaite de la part du créancier (art. 82 CO), hypothèse dans laquelle il est en principe aisé pour ce dernier d'établir par pièces qu'il a exécuté ou offert d'exécuter sa prestation. La situation est différente lorsque la prestation a été effectuée mais que le débiteur invoque l'existence de défauts : il serait alors extrêmement difficile au créancier d'établir par pièces l'inexistence de défauts, alors que la même preuve peut être exigée, au degré de la vraisemblance, du débiteur. En l'espèce, la recourante échoue à rendre vraisemblable le caractère défectueux des composants vendus. Il ressort à cet égard des pièces produites qu'elle s'est plainte, de manière très générale, de ce que le système ne fonctionnait pas, sans identifier de manière précise la ou les causes des problèmes constatés. Or ces causes peuvent être multiples, et concerner non seulement la qualité des composants mais encore leur installation ou leur compatibilité avec les autres composants d'ores et déjà intégrés à l'immeuble. C'est du reste cette dernière explication, soit la non-conformité des câbles existants aux équipements fournis, qui est privilégiée par l'intimée, sans que la recourante explique en quoi elle ne serait pas fondée. La recourante échoue également à rendre vraisemblable l'absence d'une qualité promise : son allégation, ressortant des échanges de courriers électroniques intervenus entre les parties en novembre 2012, selon laquelle les représentants de l'intimée lui auraient assuré qu'il ne serait pas nécessaire de remplacer le câblage existant, est en effet contestée par cette dernière et rien ne permet de privilégier une version par rapport à l'autre. Faute d'avoir rendu vraisemblable l'existence de défauts ou l'absence d'une qualité promise, l'argumentation principale de la recourante, fondée sur l'existence d'une prétention minutoire en sa faveur, ne peut être accueillie. Il en va de même de son argumentation subsidiaire, fondée sur la compensation avec la créance en dommages et intérêts dont elle disposerait à l'encontre de l'intimée en raison de la livraison d'un matériel défectueux.</w:t>
      </w:r>
    </w:p>
    <w:p>
      <w:r>
        <w:rPr>
          <w:b/>
        </w:rPr>
        <w:t>E. 3.5</w:t>
      </w:r>
    </w:p>
    <w:p>
      <w:r>
        <w:t>Au vu de ce qui précède, c'est à bon droit que le Tribunal a considéré que les titres produits par l'intimée valaient reconnaissances de dette et, la recourante n'étant pas parvenue à rendre vraisemblable l'existence de moyens libératoires, a prononcé la mainlevée. Le recours sera dès lors rejeté.</w:t>
      </w:r>
    </w:p>
    <w:p>
      <w:r>
        <w:rPr>
          <w:b/>
        </w:rPr>
        <w:t>E. 4</w:t>
      </w:r>
    </w:p>
    <w:p>
      <w:r>
        <w:t>Le recourant, qui succombe, sera condamné aux frais (art. 106 al. 1 et 3 CPC).![endif]&gt;![if&gt; En vertu de l'art. 61 al. 1 OELP, la juridiction supérieure à laquelle sont déférées les décisions rendues dans une procédure sommaire en matière de poursuite (art. 251 CPC) peut prélever un émolument n'excédant pas une fois et demi l'émolument que peut prélever l'autorité de première instance. Le premier juge a fixé l'émolument de première instance à 400 fr. L'émolument de la présente décision sera fixé à 600 fr. Il sera mis à la charge de la recourante et compensé avec l'avance de frais du même montant opérée par celle-ci, acquise à l'Etat par compensation (art. 111 al. 1 CPC). Elle versera également à l'intimée, assistée d'un conseil devant la Cour, des dépens arrêtés à 2'000 fr., débours et TVA compris (art. 96 et 105 al. 2 CPC; art. 85, 89 et 90 RTFMC; art. 25 et 26 LaCC; art. 25 LTVA). PAR CES MOTIFS, La Chambre civile : A la forme : Déclare recevable le recours interjeté par A______ contre le jugement JTPI/3766/2014 rendu le 17 mars 2014 par le Tribunal de première instance dans la cause C/24266/2013-6 SML. Au fond : Rejette ce recours. Déboute les parties de toutes autres conclusions. Sur les frais : Condamne A______ aux frais judiciaires du recours, fixés à 600 fr., lesquels sont intégralement compensés avec l'avance de frais du même montant déjà effectuée, qui reste acquise à l'Etat de Genève. Condamne A______ à verser à B______ la somme de 2'000 fr. à titre de dépens. Siégeant : Monsieur Laurent RIEBEN, président; Monsieur Patrick CHENAUX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