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C/24196/2020 vom 22. März 2021</w:t>
      </w:r>
    </w:p>
    <w:p>
      <w:r>
        <w:t>GE Cour de justice, 2021-03-22, FR</w:t>
      </w:r>
    </w:p>
    <w:p>
      <w:r>
        <w:rPr>
          <w:b/>
        </w:rPr>
        <w:t xml:space="preserve">Quelle: </w:t>
      </w:r>
      <w:r>
        <w:t>https://mcp.opencaselaw.ch/entscheid/ge_gerichte_C_24196_2020</w:t>
      </w:r>
    </w:p>
    <w:p>
      <w:r>
        <w:t>FR: GE_GERICHTE C/24196/2020 du 22 mars 2021</w:t>
      </w:r>
    </w:p>
    <w:p>
      <w:r>
        <w:t>IT: GE_GERICHTE C/24196/2020 del 22 marzo 2021</w:t>
      </w:r>
    </w:p>
    <w:p>
      <w:pPr>
        <w:pStyle w:val="Heading2"/>
      </w:pPr>
      <w:r>
        <w:t>Regeste</w:t>
      </w:r>
    </w:p>
    <w:p>
      <w:r>
        <w:t>EFFSUS | CPC.315.al5; CPC.325.al2</w:t>
      </w:r>
    </w:p>
    <w:p>
      <w:pPr>
        <w:pStyle w:val="Heading2"/>
      </w:pPr>
      <w:r>
        <w:t>Volltext</w:t>
      </w:r>
    </w:p>
    <w:p>
      <w:r>
        <w:t>Genf Cour de Justice (Cour civile) Chambre civile 22.03.2021 C/24196/2020 Genève Cour de Justice (Cour civile) Chambre civile 22.03.2021 C/24196/2020 Ginevra Cour de Justice (Cour civile) Chambre civile 22.03.2021 C/24196/2020</w:t>
      </w:r>
    </w:p>
    <w:p>
      <w:r>
        <w:t>EFFSUS | CPC.315.al5; CPC.325.al2</w:t>
      </w:r>
    </w:p>
    <w:p>
      <w:r>
        <w:t>C/24196/2020 ACJC/361/2021 du 22.03.2021 sur OTPI/209/2021 ( SP ) Descripteurs : EFFSUS Normes : CPC.315.al5; CPC.325.al2 RÉPUBLIQUE ET CANTON DE GENÈVE POUVOIR JUDICIAIRE C/24196/2020 ACJC/361/2021 ARRÊT DE LA COUR DE JUSTICE Chambre civile DU LUNDI 22 MARS 2021 Entre Monsieur A______ , domicilié ______, appelant d'une ordonnance rendue par la 13ème Chambre du Tribunal de première instance de ce canton le 4 mars 2021, comparant par Me Catarina MONTEIRO SANTOS, avocate, boulevard des Tranchées 4, 1205 Genève, en l'étude de laquelle il fait élection de domicile, et B______ SA , sise ______, intimée, comparant par Me Christian TAMISIER, avocat, rue Saint-Léger 8, 1205 Genève, en l'étude duquel elle fait élection de domicile. Vu, EN FAIT , l'ordonnance OTPI/209/2021 du 4 mars 2021 par laquelle le Tribunal de première instance (ci-après: le Tribunal), statuant sur mesures provisionnelles, a rejeté la requête tendant à la suspension provisoire de la poursuite n° 1______ (chiffre 1 du dispositif), révoqué en conséquence et mis à néant avec effet immédiat l'ordonnance C/24196/2020 SP rendue le 27 novembre 2020 sur mesures superprovisionnelles ordonnant la suspension provisoire de la poursuite n° 1______ initiée par B______ SA à l'encontre de A______, arrêté les frais judiciaires à 1'000 fr., compensés avec l'avance fournie par A______ et les a mis à la charge de ce dernier (ch. 2, 1 er et 2 ème paragraphes), dit qu'il n'y avait pas lieu à l'allocation de dépens (ch. 3) et débouté les parties de toutes autres conclusions (ch. 4); Vu l'appel formé le 15 mars 2021 par A______ contre l'ordonnance du 4 mars 2021, concluant à son annulation et, cela fait, au prononcé de la suspension provisoire de la poursuite n° 1______ au sens de l'art. 85a al. 2 LP, à ce qu'il soit fait interdiction à l'Office des faillites de Genève de prononcer sa faillite avant que ne soit rendue une décision au fond dans la présente procédure, avec suite de frais et dépens à la charge de sa partie adverse; Vu la conclusion préalable tendant à l'octroi de l'effet suspensif; Que sur ce point, A______ a exposé faire l'objet d'une poursuite infondée, une requête de faillite ayant été déposée à son encontre alors que le commandement de payer ne lui avait pas été notifié valablement; Qu'il avait dès lors introduit une action en annulation de poursuite (n° 1______ portant sur un montant de 9'772 fr. 85), assortie de mesures superprovisionnelles et provisionnelles; Que par ordonnance du 27 novembre 2020, le Tribunal avait suspendu, à titre superprovisionnel, la poursuite litigieuse; Que toutefois, dans son ordonnance sur mesures provisionnelles du 4 mars 2021, le Tribunal avait rejeté la requête tendant à la suspension de la poursuite en cause, au motif que ses chances d'obtenir gain de cause au fond n'apparaissaient pas nettement meilleures que celles de B______ SA; Que si la poursuite devait suivre son cours, il risquait d'être mis en faillite, ce qui lui causerait un préjudice irréparable et priverait l'appel de son objet; Qu'en cas d'octroi de l'effet suspensif, la partie intimée ne subirait aucun préjudice; Que le 22 mars 2021, B______ SA a allégué que l'action en annulation de la poursuite était purement dilatoire; Qu'elle a conclu au rejet de la requête d'effet suspensif et, sur le fond, au rejet de l'appel; Considérant, EN DROIT , que l'appel est recevable contre les décisions de première instance sur les mesures provisionnelles (art. 308 al. 1 let. b CPC); Que dans les affaires patrimoniales, l'appel est recevable si la valeur litigieuse au dernier état des conclusions est de 10'000 fr. au moins (art. 308 al. 2 CPC); Que le recours est notamment recevable contre les décisions provisionnelles de première instance qui ne peuvent faire l'objet d'un appel (art. 319 let. a CPC); Que l'appel n'a pas d'effet suspensif lorsqu'il a pour objet des décisions portant sur des mesures provisionnelles (art. 315 al. 4 let. b CPC); Que l'exécution des mesures provisionnelles peut exceptionnellement être suspendue si la partie concernée risque de subir un préjudice difficilement réparable (art. 315 al. 5 CPC); Que le recours ne suspend pas la force de chose jugée et le caractère exécutoire de la décision attaquée (art. 325 al. 1 CPC); Que l'instance de recours peut suspendre le caractère exécutoire (art. 325 al. 2 CPC); Qu'en l'espèce, la question de savoir si la Cour a été saisie d'un appel ou d'un recours, compte tenu de la valeur litigieuse de la cause, peut demeurer indécise à ce stade de la procédure; Qu'en effet, l'appel contre une décision rendue sur mesures provisionnelles n'a pas d'effet suspensif; Que le recours ne déploie pas non plus un effet suspensif automatique; Que la Cour peut, dans les deux cas, suspendre le caractère exécutoire de la décision attaquée, si la partie qui s'oppose à la décision de première instance risque de subir un préjudice difficilement réparable; Qu'en l'espèce, si la poursuite devait aller sa voie, la faillite de A______ risquerait d'être prononcée, ce qui correspond à la définition du préjudice difficilement réparable; Qu'à l'inverse, la suspension du caractère exécutoire de l'ordonnance entreprise et par conséquent le maintien de l'ordonnance rendue sur mesures superprovisionnelles, ne causera pas un tel préjudice à la partie intimée, étant relevé que cette dernière ayant déjà répondu sur le fond, la Cour devrait être en mesure de rendre rapidement son arrêt; Qu'en l'état, il ne serait être retenu que l'appel/recours formé par A______ est totalement dépourvu de chances de succès; Qu'au vu de ce qui précède, il sera fait droit à la requête; Qu'il sera statué sur les frais de la présente décision dans l'arrêt qui sera rendu au fond. * * * * * PAR CES MOTIFS, La présidente de la Chambre civile : Statuant sur requête de suspension du caractère exécutoire de l'ordonnance entreprise : Admet la requête formée par A______ tendant à la suspension du caractère exécutoire attaché à l'ordonnance OTPI/209/2021 rendue le 4 mars 2021 par le Tribunal de première instance dans la cause C/24196/2020. Dit qu'il sera statué sur les frais et dépens de la présente décision avec la décision sur le fond. Siégeant : Madame Paola CAMPOMAGNANI, présidente; Sophie MARTINEZ,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