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C/24193/2016 vom 31. Oktober 2017</w:t>
      </w:r>
    </w:p>
    <w:p>
      <w:r>
        <w:t>GE Cour de justice, 2017-10-31, FR</w:t>
      </w:r>
    </w:p>
    <w:p>
      <w:r>
        <w:rPr>
          <w:b/>
        </w:rPr>
        <w:t xml:space="preserve">Quelle: </w:t>
      </w:r>
      <w:r>
        <w:t>https://mcp.opencaselaw.ch/entscheid/ge_gerichte_C_24193_2016</w:t>
      </w:r>
    </w:p>
    <w:p>
      <w:r>
        <w:t>FR: GE_GERICHTE C/24193/2016 du 31 octobre 2017</w:t>
      </w:r>
    </w:p>
    <w:p>
      <w:r>
        <w:t>IT: GE_GERICHTE C/24193/2016 del 31 ottobre 2017</w:t>
      </w:r>
    </w:p>
    <w:p>
      <w:pPr>
        <w:pStyle w:val="Heading2"/>
      </w:pPr>
      <w:r>
        <w:t>Regeste</w:t>
      </w:r>
    </w:p>
    <w:p>
      <w:r>
        <w:t>EFFET SUSPENSIF | CPC.315;</w:t>
      </w:r>
    </w:p>
    <w:p>
      <w:pPr>
        <w:pStyle w:val="Heading2"/>
      </w:pPr>
      <w:r>
        <w:t>Volltext</w:t>
      </w:r>
    </w:p>
    <w:p>
      <w:r>
        <w:t>Genf Cour de Justice (Cour civile) Chambre civile 22.12.2017 C/24193/2016 Genève Cour de Justice (Cour civile) Chambre civile 22.12.2017 C/24193/2016 Ginevra Cour de Justice (Cour civile) Chambre civile 22.12.2017 C/24193/2016</w:t>
      </w:r>
    </w:p>
    <w:p>
      <w:r>
        <w:t>EFFET SUSPENSIF | CPC.315;</w:t>
      </w:r>
    </w:p>
    <w:p>
      <w:r>
        <w:t>C/24193/2016 ACJC/1683/2017 du 22.12.2017 sur OTPI/581/2017 ( SDF ) Descripteurs : EFFET SUSPENSIF Normes : CPC.315; Par ces motifs RÉPUBLIQUE ET CANTON DE GENÈVE POUVOIR JUDICIAIRE C/24193/2016 ACJC/1683/2017 ARRÊT DE LA COUR DE JUSTICE Chambre civile du VENDREDI 22 DECEMBRE 2017 Entre Monsieur A______ , domicilié ______ (GE), appelant d'une ordonnance rendue par la 20 ème Chambre du Tribunal de première instance de ce canton le 31 octobre 2017, comparant en personne, et 1. Madame B______, domiciliée ______ (GE), intimée, comparant par Me Benoît Dayer, avocat, quai Gustave-Ador 38, case postale 6293, 1211 Genève 6, en l'étude duquel elle fait élection de domicile, 2. L'enfant C______ , domiciliée c/o Monsieur A______, ______ (GE), 3. L'enfant D______ , domicilié c/o Monsieur A______, _______ (GE), intimés, représentés par leur curatrice, Me Raffaella Meakin, avocate, 36, boulevard Helvétique, 1207 Genève, comparant en personne. Attendu, EN FAIT , que par ordonnance du 31 octobre 2017, le Tribunal de première instance, statuant sur mesures provisionnelles, a notamment annulé le chiffre 10 du jugement rendu par le Tribunal de première instance le 24 juin 2014 en ce qu'il réservait à B______ un large droit de visite sur les enfants, lequel s'exercerait d'entente entre les parties ou, à défaut d'accord, à raison d'un soir et une nuit par semaine, d'un week-end sur deux du vendredi après l'école au lundi matin à l'entrée de l'école ainsi que durant la moitié des vacances scolaires (ch. 1 du dispositif) et, cela fait, réservé à B______ un large droit de visite sur les enfants C______ et D______, lequel s'exercerait, à défaut d'entente entre les parties, à raison d'un week-end sur deux du jeudi 18h30 au lundi matin à la rentrée des classes et tous les lundis après l'école au mardi matin à la rentrée des classes, ainsi que durant la moitié des vacances scolaires (ch. 2), autorisé B______ et A______ à communiquer de manière libre avec leurs enfants lorsque ceux-ci sont chez l'autre parent (ch. 4), instauré une curatelle ad hoc pour le suivi thérapeutique de C______ et de D______, le curateur désigné ayant notamment pour mission de choisir le ou les thérapeutes des enfants, de diriger la mise en place du suivi thérapeutique des enfants et de veiller à son bon déroulement, limite l'autorité parentale en conséquence (ch. 10) et dit que les frais de l'ensemble des curatelles seraient à la charge de A______ (ch. 12); Que par acte expédié au greffe de la Cour le 13 novembre 2017, A______ a formé appel contre ce jugement, qu'il s'est limité sous le titre "CONCLUSIONS" à solliciter l'annulation des ch. 1, 2, 4, 10 et 12 du dispositif de l'ordonnance précitée et, pour le surplus, "ceci fait, statuant à nouveau", à reprendre la chronologie de la procédure, sans prendre de conclusions au fond expresses; Qu'il a conclu, préalablement, à ce que l'effet suspensif soit accordé à son appel; que sous le titre "effet suspensif non requis", il expose différents principes généraux et explique que dès lors qu'il "ne dispose pas des moyens pour s'acquitter des montants fixés par le jugement querellé, il est établi qu'il risque de subir un préjudice difficilement réparable"; Qu'invitée à se déterminer sur l'effet suspensif, B______ a conclu au déboutement de A______ à cet égard, relevant que l'élargissement de son droit de visite était marginal et ne saurait causer à l'appelant un préjudice difficilement réparable; Que la curatrice de représentation des enfants a également conclu au rejet de la requête d'effet suspensif, considérant qu'il convenait d'entendre le désir de C______ d'être plus souvent chez sa maman;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arrêt 5A_514/2012 du 4 septembre 2012 consid. 3.2); Que le juge prendra également en considération les chances de succès du recours (ATF 115 Ib 157 consid. 2; arrêt du Tribunal fédéral 4A_30/2010 du 25 mars 2010 consid. 2.3); Qu'il dispose d'un large pouvoir d'appréciation permettant de tenir compte des circonstances concrètes du cas d'espèce (ATF 137 III 475 consid. 4.1); Qu'en l'espèce, à bien le comprendre, l'appelant motive sa requête d'effet suspensif par le fait qu'il ne "dispose pas des moyens pour s'acquitter des montants fixés par le jugement querellé"; que ledit jugement ne le condamne toutefois au paiement d'aucune somme, mais dit tout au plus, selon le ch. 12 de son dispositif, que les frais des curatelles seront à sa charge; que dans la mesure où ces frais ne sont pas connus, il ne peut être affirmé à ce stade qu'un éventuel paiement à cet égard durant la procédure d'appel serait susceptible de lui causer un préjudice difficilement réparable, l'appelant se limitant en tout état à une simple affirmation qu'il ne cherche à démontrer d'aucune manière; Que l'appelant expose par ailleurs divers principes juridiques en matière d'effet suspensif, notamment, ceux relatifs aux cas où le tribunal statue sur la garde; que le Tribunal n'a toutefois, en l'espèce, pas modifié le régime de garde tel qu'il était prévu par le jugement ______, de sorte que l'effet suspensif ne saurait être accordé pour éviter aux enfants un changement de régime de garde; Qu'il ne ressort pas des explications de l'appelant qu'il solliciterait l'effet suspensif pour les autres points du dispositif du jugement dont il fait appel; Qu'en particulier, l'appelant ne motive pas sa requête d'effet suspensif concernant les modalités du droit de visite qui ont été modifiées par le jugement attaqué; Que par ailleurs, l'appelant ne prend pas de conclusions expresses au fond, se limitant à conclure à l'annulation de certains points du dispositif du jugement attaqué, mais n'indique pas dans quel sens, "ceci fait, statuant à nouveau", il conviendrait de juger; qu'il évoque par ailleurs différents griefs en énonçant à nouveau de nombreux principes juridiques avec de nombreuses références, sans cependant expliquer de quelle manière ils devraient être appliqués dans le cas d'espèce; Qu'ainsi, la question de la recevabilité de l'appel peut se poser, laquelle ne sera cependant pas davantage examinée dans le cadre de la présente décision; qu'il ne peut dès lors être d'emblée considéré, à ce stade, que l'appel a des chances de succès; que le seul fait que le Tribunal n'a pas suivi les recommandations du Service de protection des mineurs n'est à cet égard pas suffisant; Qu'enfin, il convient certes, en principe, d'éviter des changements dans les modalités du droit de visite des enfants pour une durée qui serait limitée à la procédure d'appel, dans l'hypothèse où l'appelant obtenait gain de cause et où les modalités qui prévalaient jusqu'au jugement attaquée étaient maintenues; qu'en l'espèce toutefois, même si l'appel devait être admis et que la situation antérieure était rétablie, les modifications du droit de visite résultant du jugement du Tribunal sont limitées; que la curatrice de représentation des enfants pourra en outre expliquer à ces derniers la situation, en particulier à C______, et ceux-ci devraient être à même de la comprendre; Qu'au vu de ce qui précède, la requête de l'appelant tendant à la suspension du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de l'ordonnance OTPI/581/2017 rendue le 31 octobre 2017 par le Tribunal de première instance dans la cause C/24193/2016_20.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