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C/24171/2021 vom 7. März 2023</w:t>
      </w:r>
    </w:p>
    <w:p>
      <w:r>
        <w:t>GE Cour de justice, 2023-03-07, FR</w:t>
      </w:r>
    </w:p>
    <w:p>
      <w:r>
        <w:rPr>
          <w:b/>
        </w:rPr>
        <w:t xml:space="preserve">Quelle: </w:t>
      </w:r>
      <w:r>
        <w:t>https://mcp.opencaselaw.ch/entscheid/ge_gerichte_C_24171_2021</w:t>
      </w:r>
    </w:p>
    <w:p>
      <w:r>
        <w:t>FR: GE_GERICHTE C/24171/2021 du 7 mars 2023</w:t>
      </w:r>
    </w:p>
    <w:p>
      <w:r>
        <w:t>IT: GE_GERICHTE C/24171/2021 del 7 marzo 2023</w:t>
      </w:r>
    </w:p>
    <w:p>
      <w:pPr>
        <w:pStyle w:val="Heading2"/>
      </w:pPr>
      <w:r>
        <w:t>Regeste</w:t>
      </w:r>
    </w:p>
    <w:p>
      <w:r>
        <w:t>PROTECTION DE L'UNION CONJUGALE;OBLIGATION D'ENTRETIEN;ENFANT;CONJOINT;AVANCE DE FRAIS | CC.163; CC.176.al1.ch1; CC.176.al3; CC.276; CC.285.al1; CC.286.al3</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qu'en l'espèce, le litige porte sur l'entretien des enfants et de l'épouse, ainsi que sur l'octroi d'une provisio ad litem , il est de nature pécuniaire (ATF 133 III 393 consid. 2). En vertu de l'art. 92 al. 2 CPC, la capitalisation du montant des contributions d'entretien restées litigieuses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Formés en temps utile et selon la forme prescrite par la loi (art. 130 al. 1 et 314 al. 1 CPC), les appels sont donc recevables.</w:t>
      </w:r>
    </w:p>
    <w:p>
      <w:r>
        <w:rPr>
          <w:b/>
        </w:rPr>
        <w:t>E. 1.2</w:t>
      </w:r>
    </w:p>
    <w:p>
      <w:r>
        <w:t>Dirigés contre le même jugement et comportant des liens étroits, les appels seront traités dans la même décision (art. 125 let. c CPC). L'épouse sera ci-après désignée en qualité d'appelante et l'époux en qualité d'intimé.</w:t>
      </w:r>
    </w:p>
    <w:p>
      <w:r>
        <w:rPr>
          <w:b/>
        </w:rPr>
        <w:t>E. 1.3</w:t>
      </w:r>
    </w:p>
    <w:p>
      <w:r>
        <w:t>La Cour revoit la cause en fait et en droit avec un plein pouvoir d'examen (art. 310 CPC). La présente cause est soumise aux maximes d'office et inquisitoire illimitée dès lors qu'elle concerne les enfants mineures des parties (art. 296 al. 1 et al. 3 CPC), de sorte que la Cour n'est liée ni par les conclusions des parties sur ce point (art. 296 al. 3 CPC) ni par l'interdiction de la reformatio in pejus (ATF 129 III 417 consid. 2.1.1; arrêt du Tribunal fédéral 5A_843/2018 du 12 février 2020 consid. 5.2). En revanche, s'agissant de la contribution d'entretien sollicitée par l'appelante, les maximes de disposition (art. 58 al. 1 CPC; ATF 128 III 411 consid. 3.2.2; arrêt du Tribunal fédéral 5A_693/2007 du 18 février 2008 consid. 6) et inquisitoire limitée sont applicables (art. 272 CPC; ATF 129 III 417 précité; arrêts du Tribunal fédéral 5A_386/2014 du 1 er décembre 2014 consid. 6.2; 5A_757/2013 du 14 juillet 2014 consid. 2.1). Les maximes inquisitoire limitée (art. 272 CPC) et de disposition (art. 58 al. 1 CPC) sont également applicables à la question de la provisio ad litem .</w:t>
      </w:r>
    </w:p>
    <w:p>
      <w:r>
        <w:rPr>
          <w:b/>
        </w:rPr>
        <w:t>E. 1.4</w:t>
      </w:r>
    </w:p>
    <w:p>
      <w:r>
        <w:t>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w:t>
      </w:r>
    </w:p>
    <w:p>
      <w:r>
        <w:rPr>
          <w:b/>
        </w:rPr>
        <w:t>E. 1.5</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1.6</w:t>
      </w:r>
    </w:p>
    <w:p>
      <w:r>
        <w:t>Les parties ont produit de nouvelles pièces en appel. Elles ont, en outre, pris des conclusions nouvelles relatives aux arriérés de contributions déjà versés, respectivement aux arriérés restant dus.</w:t>
      </w:r>
    </w:p>
    <w:p>
      <w:r>
        <w:rPr>
          <w:b/>
        </w:rPr>
        <w:t>E. 1.6.1</w:t>
      </w:r>
    </w:p>
    <w:p>
      <w:r>
        <w:t>La Cour examine d'office la recevabilité des faits et moyens de preuve nouveaux en appel (Reetz/Hilber, Kommentar zur Schweizerischen Zivilprozessordnung [ZPO], 2016, n. 26 ad art. 317 CPC).</w:t>
      </w:r>
    </w:p>
    <w:p>
      <w:r>
        <w:rPr>
          <w:b/>
        </w:rPr>
        <w:t>E. 1.6.2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w:t>
      </w:r>
    </w:p>
    <w:p>
      <w:r>
        <w:rPr>
          <w:b/>
        </w:rPr>
        <w:t>E. 1.6.3</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CPC), et qu'elles reposent sur des faits ou moyens de preuve nouveaux, d'autre part (art. 317 al. 2 let. b CPC; arrêt du Tribunal fédéral 5A_456/2016 consid. 4.2.1). Les faits et moyens de preuve nouveaux ne sont admis que jusqu'aux délibérations, lesquelles débutent dès la clôture des débats s'il y en a eu, respectivement dès que l'autorité d'appel a communiqué aux parties que la cause a été gardée à juger (ATF 142 III 413 consid. 2.2.3-2.2.6; arrêts du Tribunal fédéral 5A_364/2020 du 14 juin 2021 consid. 8.1; 5A_667/2019 du 7 avril 2020 consid. 5.3; 5A_369/2018 du 14 août 2018 consid. 2.3.2) Lorsque la cause est soumise à la maxime d'office, le dépôt de conclusions nouvelles en appel est admissible jusqu'aux délibérations. Les restrictions posées par l'art. 317 al. 2 CPC n'entrent en effet pas en considération dans ce cadre (Schweighauser, Kommentar zur Schweizerischen Zivilprozessordnung, 2016, n. 3 ad art. 296 CPC; Jeandin, CR-CPC, 2019, n. 18 ad art. 296 CPC).</w:t>
      </w:r>
    </w:p>
    <w:p>
      <w:r>
        <w:rPr>
          <w:b/>
        </w:rPr>
        <w:t>E. 1.6.4</w:t>
      </w:r>
    </w:p>
    <w:p>
      <w:r>
        <w:t>En l'espèce, les pièces nouvelles produites en appel par les parties sont recevables, dès lors qu'elles sont en lien avec l'entretien de leurs enfants. Les modifications des conclusions des parties, qui concernent également les enfants, sont admissibles, étant rappelé que la Cour n'est en tout état pas liée par les conclusions des parents relatives à leurs enfants.</w:t>
      </w:r>
    </w:p>
    <w:p>
      <w:r>
        <w:rPr>
          <w:b/>
        </w:rPr>
        <w:t>E. 2</w:t>
      </w:r>
    </w:p>
    <w:p>
      <w:r>
        <w:t>Les parties remettent en cause les contributions à l'entretien des enfants et de l'épouse fixées par le premier juge. Elles font valoir que leur situation financière et celle de leurs enfants ont été mal évaluées. L'appelante soutient en outre que les frais d'équitation doivent être intégrés dans les minima vitaux des enfants - et non couverts par l'excédent - dans la mesure où il ne s'agit pas d'un simple loisir, mais d'une formation à vocation professionnelle, et que le premier juge a abusé de son pouvoir d'appréciation et violé le principe d'égalité des droits entre époux en lui octroyant un tiers de l'excédent, celui-ci devant, selon elle, être réparti entre les grandes têtes (par moitié entre les époux) et les petites têtes. L'intimé soutient, pour sa part, qu'en offrant de verser 300 fr. par mois à chacune de ses filles, celles-ci disposeraient d'un solde suffisant pour couvrir leurs frais d'équitation et que, dans la mesure où il a laissé l'usage du domicile conjugal – copropriété des époux – à l'appelante, celle-ci bénéficie d'un logement à bas prix alors qu'il se voit privé de son investissement et qu'il doit s'acquitter d'impôts y relatifs sans pouvoir en bénéficier. Il reproche, en outre, au Tribunal de ne pas avoir tenu compte des sommes qu'il a versées à son épouse depuis la séparation et de ne pas les avoir portées en déduction des contributions dues.</w:t>
      </w:r>
    </w:p>
    <w:p>
      <w:r>
        <w:rPr>
          <w:b/>
        </w:rPr>
        <w:t>E. 2.1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rPr>
          <w:b/>
        </w:rPr>
        <w:t>E. 2.2</w:t>
      </w:r>
    </w:p>
    <w:p>
      <w:r>
        <w:t>En vertu de l'art. 176 al. 3 CC, relatif à l'organisation de la vie séparée, lorsque les époux ont des enfants mineurs, le juge ordonne les mesures nécessaires d'après les dispositions sur les effets de la filiation (cf. art. 273 ss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w:t>
      </w:r>
    </w:p>
    <w:p>
      <w:r>
        <w:rPr>
          <w:b/>
        </w:rPr>
        <w:t>E. 2.3</w:t>
      </w:r>
    </w:p>
    <w:p>
      <w:r>
        <w:t>Dans trois arrêts publiés (ATF 147 III 265 , in SJ 2021 I 316; ATF 147 III 293 et ATF 147 III 301 ),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 grandes têtes " et " petites têtes ",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Le minimum vital du débirentier doit en principe être préservé (ATF 137 III 59 consid. 4.2).</w:t>
      </w:r>
    </w:p>
    <w:p>
      <w:r>
        <w:rPr>
          <w:b/>
        </w:rPr>
        <w:t>E. 2.4</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prestations pour l'entretien des enfants intègrent une participation à leurs frais de logement, de sorte que le loyer imputé à l'époux attributaire de leur garde doit être diminué dans cette mesure (arrêts du Tribunal fédéral 5A_464/2012 du 30 novembre 2012 consid. 4.6.3; 5A_533/2010 du 24 novembre 2010 consid. 2.1). La part au logement peut être fixée à 30% pour deux enfants (Bastons Bulletti, L'entretien après divorce : Méthodes de calcul, montant, durée et limites, in SJ 2007 II 77, p. 102). En principe, seules sont prises en compte les dettes régulièrement amorties que les époux ont contractées - déjà durant la vie commune - pour leur train de vie commun ou celles dont ils sont solidairement responsables. Les dettes personnelles envers des personnes tierces ne concernant qu'un seul des époux passent après le devoir d'entretien du droit de la famille et n'entrent pas dans le calcul du minimum vital (ATF 127 III 289 consid. 2a/bb; arrêts du Tribunal fédéral 5A_621/2021 du 20 avril 2022 consid 4.3; 5A_1032/2019 du 9 juin 2020 consid. 3.2).</w:t>
      </w:r>
    </w:p>
    <w:p>
      <w:r>
        <w:rPr>
          <w:b/>
        </w:rPr>
        <w:t>E. 2.5</w:t>
      </w:r>
    </w:p>
    <w:p>
      <w:r>
        <w:t>Lors de la détermination des besoins – élargis – de l'enfant, il s'agit de prendre en compte le revenu et la fortune de l'enfant (hors produit de l'activité lucrative) imposable à l'un des parents (art. 3 al. 3 LHID et 285 al. 2 CC) par rapport au revenu total imposable de ce parent et la part de l'obligation fiscale totale de ce dernier qui en découle. Si, par exemple, le revenu attribuable à l'enfant représente 20% du revenu du foyer fiscal, la même proportion de la dette fiscale totale du parent contribuable doit être incluse dans les besoins de l'enfant et, par conséquent, seule la différence doit être incluse dans les besoins dudit parent (ATF 147 III 457 consid. 4.2.3.5). A teneur de l'art. 21 al. 1 let. b LIFD, est imposable le rendement de la fortune immobilière, en particulier la valeur locative des immeubles ou de parties d'immeubles dont le contribuable se réserve l'usage en raison de son droit de propriété ou d'un droit de jouissance obtenu à titre gratuit. Ainsi, la cession de l'usage de la maison à l'époux séparé ou divorcé, sans inscription au registre foncier d'un droit d'usufruit ou d'habitation, constitue également un usage propre pour l'époux propriétaire cédant cet usage, ce dernier étant alors imposable sur la valeur locative. L'époux cédant l'usage de l'immeuble peut toutefois déduire le montant de la valeur locative dans sa déclaration fiscale, à titre de pension alimentaire au sens de l'art. 33 al. 1 let. c LIFD. En effet, le contribuable qui verse des contributions d'entretien à son époux séparé de fait ou de droit ou divorcé peut les déduire entièrement de son revenu, alors que l'époux qui les reçoit doit payer l'impôt sur ces contributions (art. 23 let. f LIFD), en vertu du principe de correspondance qui veut que toutes les contributions d'entretien qui sont imposables pour l'époux qui les reçoit sont déductibles pour l'époux qui les verse; ce régime fiscal est applicable à toutes les contributions d'entretien, qu'elles prennent la forme d'une rente en argent, ou une autre forme, comme le paiement du loyer ou des intérêts hypothécaires ou celles de prestations en nature ( ATA/1089/2016 du 20 décembre 2016 consid. 20; Circulaire n° 30 du 21 décembre 2010 de l'Administration fédérale des contributions sur l'imposition des époux et de la famille selon la loi fédérale sur l'impôt fédéral direct ch. 14.1.2; Merlino, CR-LIFD, 2017, n. 93 ad. art. 21 LIFD). L'art. 33 LIPP a la même teneur que l'art. 33 al. 1 let. c LIFD. Les mêmes principes sont par conséquent applicables à l'IFD et à l'ICC ( ATA/95/2012 du 21 février 2012 consid. 4b; ATA/37/2011 du 25 janvier 2011 consid. 8). Le montant de la charge fiscale est une question de fait (arrêt du Tribunal fédéral 5A_57/2017 du 9 juin 2017 consid. 4.3.2).</w:t>
      </w:r>
    </w:p>
    <w:p>
      <w:r>
        <w:rPr>
          <w:b/>
        </w:rPr>
        <w:t>E. 2.6</w:t>
      </w:r>
    </w:p>
    <w:p>
      <w:r>
        <w:t>Des contributions doivent être déduits les montants dont l'intimé s'est d'ores et déjà acquitté à titre d'entretien (arrêt du Tribunal fédéral 5A_454/2017 du 17 mai 2018 consid. 5.3, non publié in ATF 144 III 377 ). Si le débiteur prétend avoir déjà versé des prestations d'entretien au crédirentier depuis la séparation des époux,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w:t>
      </w:r>
    </w:p>
    <w:p>
      <w:r>
        <w:rPr>
          <w:b/>
        </w:rPr>
        <w:t>E. 2.7</w:t>
      </w:r>
    </w:p>
    <w:p>
      <w:r>
        <w:t>Les policiers peuvent prendre leur retraite dès l'âge de 58 ans, mais pas au-delà de celui prévu par l'AVS (art. 27 de la loi genevoise sur la police – LPOL).</w:t>
      </w:r>
    </w:p>
    <w:p>
      <w:r>
        <w:rPr>
          <w:b/>
        </w:rPr>
        <w:t>E. 2.8</w:t>
      </w:r>
    </w:p>
    <w:p>
      <w:r>
        <w:t>En l'espèce, il n'est pas contesté que la situation financière des parties et de leurs enfants peut être arrêtée en tenant compte de leurs minima vitaux selon le droit de la famille au vu de leurs revenus et que le dies a quo doit être fixé au 15 septembre 2021.</w:t>
      </w:r>
    </w:p>
    <w:p>
      <w:r>
        <w:rPr>
          <w:b/>
        </w:rPr>
        <w:t>E. 2.8.1</w:t>
      </w:r>
    </w:p>
    <w:p>
      <w:r>
        <w:t>L'intimé a perçu le montant supplémentaire de 6'999 fr. 60 en 2020 et 2021, soit durant deux ans. Au vu des pièces produites, rien ne permet de retenir, à ce stade de la procédure, qu'il s'agirait d'une indemnité exceptionnelle dont il ne bénéficierait pas les années suivantes, de sorte qu'il en sera tenu compte dans ses revenus. Son salaire net s'élève ainsi à environ 10'700 fr. par mois (128'447 fr. 80 / 12 mois). Il ne sera pas tenu compte d'une éventuelle retraite de l'intimé, cet évènement étant en l'état incertain. Son minimum vital selon le droit de la famille s'élève à environ 5'908 fr. par mois, comprenant les loyers pour l'appartement (2'070 fr.) et pour une place de parc (206 fr.), les frais de chauffage (40 fr.), les frais d'électricité (45 fr.), les primes d'assurance-maladie LAMal (443 fr. 75) et LCA (226 fr. 50), la prime d'assurance indemnités journalières (21 fr. 10), les frais de téléphone/internet (49 fr. 95), les frais SERAFE (27 fr. 90 par égalité de traitement avec son épouse), la prime d'assurance RC-ménage (75 fr.), les frais pour un véhicule (84 fr. d'assurance, 100 fr. d'essence et 19 fr. d'impôts), les impôts (1'300 fr.) et le montant de base selon les normes OP (1'200 fr.). Il sera tenu compte de l'entier des frais de logement, dans la mesure où l'intimé a toujours affirmé ne pas vivre en concubinage avec sa compagne, qu'il a produit le bail à loyer de cette dernière et que seul vient en contradiction de ses déclarations le rapport du SEASP, dont il n'est pas invraisemblable - comme il l'allègue - qu'il ne soit pas exact sur ce point. Il ne sera, en revanche, pas tenu compte du remboursement du prêt souscrit après la séparation du couple dans son minimum vital, mais lors de la répartition de l'excédent. S'agissant de la charge fiscale, celle-ci sera retenue à hauteur de 1'300 fr. par mois au moyen de la calculette disponible sur le site internet de l'Administration fiscale genevoise (en tenant compte des revenus de l'intimé, de 50% de la valeur fiscale du domicile conjugal avant et après abattement et de 50% du prêt hypothécaire, sous déduction des primes d'assurance-maladie, de ses divers frais professionnels selon l'avis de taxation pour l'année 2020 et des contributions d'entretien en faveur de l'appelante et des enfants fixées ci-après, étant relevé qu'il ne bénéficie ni de la déduction pour charge de famille ni du splitting ). L'intimé dispose, ainsi, d'un solde de 4'792 fr. par mois.</w:t>
      </w:r>
    </w:p>
    <w:p>
      <w:r>
        <w:rPr>
          <w:b/>
        </w:rPr>
        <w:t>E. 2.8.2</w:t>
      </w:r>
    </w:p>
    <w:p>
      <w:r>
        <w:t>L'appelante perçoit des rentes totalisant 4'561 fr. 50 par mois. Son minimum vital selon le droit de la famille peut être arrêté à 4'878 fr. par mois, comprenant 70% des intérêts hypothécaires (567 fr.), des charges PPE/chauffage (447 fr. 90) et de l'électricité (42 fr. 50), les primes d'assurance-maladie LAMal (508 fr. 35) et LCA (277 fr. 20), les frais de téléphone (55 fr.), les frais de TV/internet (49 fr. 95), les frais SERAFE (27 fr. 90), la prime d'assurance RC-ménage-bâtiment (71 fr. 55), les frais pour un véhicule (retenus à hauteur d'environ 580 fr.), les impôts (900 fr.) et le montant de base (1'350 fr.), à l'exclusion des frais médicaux non remboursés dont ni le montant ni la récurrence n'ont été rendus vraisemblables. Ses frais de véhicule - nécessaires, notamment, pour accompagner les enfants au manège en France - seront retenus à hauteur d'environ 580 fr., tenant compte, notamment, de 200 fr. de leasing (soit le montant du leasing de son ancien véhicule, l'appelante n'ayant pas rendu vraisemblable que l'achat d'un nouveau véhicule était nécessaire), mais ne tenant pas compte de frais d'entretien non justifiés. Sa charge fiscale sera, quant à elle, estimée à environ 1'500 fr. par mois au moyen de la calculette disponible sur le site internet de l'Administration fiscale genevoise (sur la base de ses revenus, de ceux des enfants, de la valeur locative du bien immobilier, des contributions d'entretien fixées ci-après, de 50% de la valeur fiscale du domicile conjugal avant et après abattement et de 50% du prêt hypothécaire, sous déduction des primes d'assurance-maladie, des intérêts hypothécaires, des frais d'entretien de l'immeuble (selon la taxation pour l'année 2020), étant relevé qu'elle bénéficie de la déduction pour charge de famille et du splitting ), ce montant devant être réparti à raison de 60% pour l'appelante (900 fr.) et de 40% (600 fr.) pour les deux enfants au vu de leurs revenus respectifs. L'appelante fait donc face à un déficit d'environ 317 fr. par mois.</w:t>
      </w:r>
    </w:p>
    <w:p>
      <w:r>
        <w:rPr>
          <w:b/>
        </w:rPr>
        <w:t>E. 2.8.3</w:t>
      </w:r>
    </w:p>
    <w:p>
      <w:r>
        <w:t>D______ et E______ perçoivent des rentes complémentaires AI et LPP, ainsi que des allocations familiales pour un montant total de 1'794 fr. 60 par mois chacune. Leurs minima vitaux selon le droit de la famille s'élèvent, respectivement, à : - 1'348 fr. 20 pour D______, comprenant 15% des intérêts hypothécaires (121 fr. 50), des charges PPE/chauffage (96 fr.) et d'électricité (9 fr. 10), les primes d'assurance-maladie LAMal (128 fr. 15) et LCA (18 fr. 45), les frais de téléphone (50 fr.), les frais TPG (25 fr.), les impôts (300 fr.) et le montant de base (600 fr.), et - 1'366 fr. 65 pour E______, comprenant 15% des intérêts hypothécaires (121 fr. 50), des charges PPE/chauffage (96 fr.) et d'électricité (9 fr. 10), les primes d'assurance-maladie LAMal (128 fr. 15) et LCA (36 fr. 90), les frais de téléphone (50 fr.), les frais TPG (25 fr.), les impôts (300 fr.) et le montant de base (600 fr.). Il ne sera pas tenu compte des frais d'équitation, lesquels représentent, au vu de l'âge des enfants, une activité de loisir et non une " formation à vocation professionnelle " – et cela quand bien même D______ et E______ devaient suivre le programme SAE à la rentrée scolaire 2023 -, et seront intégrés dans la répartition de l'excédent. Les enfants disposent dès lors d'un solde mensuel à hauteur d'environ 447 fr. pour D______ et de 428 fr. pour E______.</w:t>
      </w:r>
    </w:p>
    <w:p>
      <w:r>
        <w:rPr>
          <w:b/>
        </w:rPr>
        <w:t>E. 2.8.4</w:t>
      </w:r>
    </w:p>
    <w:p>
      <w:r>
        <w:t>Au vu de ce qui précède, il apparaît que les minima vitaux des enfants sont couverts par leurs revenus propres et que l'appelante peut prétendre à la couverture de son déficit mensuel de 317 fr. S'agissant des frais d'équitation, c'est à raison que le Tribunal a retenu qu'ils pouvaient être financés par l'excédent des parents pour autant qu'ils se situent dans une proportion raisonnable, ce qui n'était pas le cas du montant de 3'700 fr. pour les deux enfants avancé par la mère, le père ayant toujours désapprouvé l'augmentation induite par l'intensification de cette pratique (notamment les concours) et les charges de la famille s'étant accrues en raison de la séparation des parties. La Cour retiendra à ce titre un montant global à hauteur d'environ 2'400 fr., soit 1'200 fr. par enfant, ne comprenant aucun frais de concours (d'autres sources de financement - bourses et/ou sponsors - étant possibles si besoin comme l'a relevé le Tribunal), la moitié des frais de cours en groupe (291 fr.) et une estimation de 100 fr. de frais de matériels et de selles (des frais plus importants et récurrents n'ayant pas été établis), ainsi que les autres frais allégués par l'appelante (cf. EN FAIT let. D.c). Couverts partiellement par le solde disponible des enfants, ils demeurent non couverts à hauteur de 753 fr. pour D______ (1'200 fr. – 447 fr.) et de 772 fr. pour E______ (1'200 fr. – 428 fr.). S'agissant du remboursement du crédit souscrit par l'intimé (461 fr. 05 jusqu'au 31 août 2024), celui-ci sera financé par l'excédent compte tenu du fait que l'intimé a laissé l'ensemble du mobilier (hormis un canapé) et le véhicule du couple à son épouse, et que, faute de disposer d'économies, il a dû souscrire ce prêt pour acheter du mobilier et un véhicule nécessaire pour se rendre à son travail durant la nuit ou les week-ends. Par conséquent, l'excédent de 4'475 fr. (solde du père en 4'792 fr. – déficit de la mère en 317 fr.) sera réparti à raison de : - 980 fr. par mois pour chacun des enfants, soit le montant arrêté par le premier juge, lequel apparaît adéquat pour permettre la couverture du solde des frais d'équitation, ainsi que d'autres frais de loisirs, activités ou frais divers en faveur d'adolescentes, - 930 fr. par mois en faveur de l'appelante, conformément au montant qu'elle réclame pour son propre entretien en appel, celle-ci n'ayant pas formulé de conclusions subsidiaires au cas où les contributions sollicitées en faveur des enfants ne seraient pas octroyées, et - 1'585 fr. par mois en faveur de l'intimé, lui permettant notamment la couverture du remboursement de son prêt jusqu'au 31 août 2024. Par conséquent, les chiffres 5 et 6 du dispositif du jugement entrepris seront confirmés. Le chiffre 9 sera annulé et l'appelant condamné à verser une contribution à l'entretien de son épouse de 930 fr. par mois dès le 15 septembre 2021. Les besoins des enfants étant entièrement couverts, il n'est pas nécessaire de constater le montant de l'entretien convenable dans le dispositif de la décision (art. 301a let. c CPC; FF 2014, p. 561; ACJC/1188/2018 du 31 août 2018 consid. 4.2.5; ACJC/290/2018 du 6 mars 2018 consid. 2.1.3).</w:t>
      </w:r>
    </w:p>
    <w:p>
      <w:r>
        <w:rPr>
          <w:b/>
        </w:rPr>
        <w:t>E. 2.8.5</w:t>
      </w:r>
    </w:p>
    <w:p>
      <w:r>
        <w:t>De ces contributions doivent être déduits les montants dont l'intimé s'est d'ores et déjà acquitté à titre d'entretien entre le 15 septembre 2021 et le 30 novembre 2022, soit un montant de 40'100 fr. (4'910 fr. pour septembre 2021 (soit la moitié du montant de 9'820 fr. versé pour ledit mois au vu du dies a quo fixé au 15 septembre 2021), 9'190 fr. pour octobre 2021 et 2'000 fr. entre novembre 2021 et novembre 2022). Faute de renseignements sur la répartition de ce montant en faveur de l'appelante et des enfants, ladite somme sera, par équité, partagée à raison d'un tiers chacune (40'100 fr. / 3 = 13'366 fr. 66 arrondi à 13'366 fr. 65).</w:t>
      </w:r>
    </w:p>
    <w:p>
      <w:r>
        <w:rPr>
          <w:b/>
        </w:rPr>
        <w:t>E. 3</w:t>
      </w:r>
    </w:p>
    <w:p>
      <w:r>
        <w:t>L'appelante fait grief au Tribunal d'avoir violé les art. 285 et 176 CC et d'avoir commis un déni de justice en ne statuant pas sur la question de la prise en charge des frais extraordinaires des enfants. Elle soutient que, vu l'âge des enfants et la situation financière respective des parties, il se justifie que le père participe à la moitié des frais extraordinaires de leurs filles.</w:t>
      </w:r>
    </w:p>
    <w:p>
      <w:r>
        <w:rPr>
          <w:b/>
        </w:rPr>
        <w:t>E. 3.1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w:t>
      </w:r>
    </w:p>
    <w:p>
      <w:r>
        <w:rPr>
          <w:b/>
        </w:rPr>
        <w:t>E. 3.2</w:t>
      </w:r>
    </w:p>
    <w:p>
      <w:r>
        <w:t>En l'occurrence, l'appelante n'allègue pas de frais extraordinaires spécifiques et chiffrés ni d'accord entre les parents concernant leur prise en charge à l'avenir. Il n'y a donc pas lieu de statuer sur des dépenses hypothétiques futures. L'appelante sera donc déboutée de ce chef de conclusion.</w:t>
      </w:r>
    </w:p>
    <w:p>
      <w:r>
        <w:rPr>
          <w:b/>
        </w:rPr>
        <w:t>E. 4</w:t>
      </w:r>
    </w:p>
    <w:p>
      <w:r>
        <w:t>L'appelante reproche au Tribunal de ne pas avoir condamné l'intimé en tous les frais de la procédure et de ne pas lui avoir octroyé la provisio ad litem pour la procédure de première instance réclamée à hauteur de 10'000 fr. Elle considère que le premier juge a procédé à une appréciation erronée des ressources à disposition des parties. Elle relève que, faute de moyens suffisants, elle a dû solliciter un prêt à sa mère pour financer ses frais d'avocat, alors que l'intimé disposerait, selon elle, de moyens suffisants pour s'acquitter de ladite provisio ad litem sans que son propre entretien et le financement de ses frais de défense ne soient compromis. Elle n'a pas motivé son appel sur la question de la répartition des frais de la procédure de première instance.</w:t>
      </w:r>
    </w:p>
    <w:p>
      <w:r>
        <w:rPr>
          <w:b/>
        </w:rPr>
        <w:t>E. 4.1</w:t>
      </w:r>
    </w:p>
    <w:p>
      <w:r>
        <w:t>Il a été jugé, dans le cadre d'une procédure de divorce, que lorsque la procédure arrive à son terme, le tribunal ne peut plus statuer sur l'octroi d'une provisio ad litem mais uniquement, dans l'hypothèse où une telle avance a été préalablement octroyée au cours de la procédure, trancher la question de son éventuelle restitution dans le cadre de la répartition des frais judiciaires et des dépens (arrêts du Tribunal fédéral 5A_819/2017 du 20 mars 2018 consid. 11; 5A_777/2014 du 4 mars 2015 consid. 6.2 et 6.3). Il ne saurait être déduit de cette jurisprudence qu'une requête de provisio ad litem perd son objet du seul fait de l'achèvement de la procédure. Lorsque, dans le cadre d'une procédure de mesures protectrices, des frais de procédure ont été mis à la charge de la partie qui a sollicité la provisio ad litem et que les dépens ont été compensés, savoir si celle-ci dispose des moyens suffisants pour assumer lesdits frais est une question qui continue de se poser au moment où la décision finale est rendue (arrêt du Tribunal fédéral 5A_590/2019 du 13 février 2020 consid. 3.3 et 3.5; ACJC/674/2020 du 18 mai 2020 consid. 4.1).</w:t>
      </w:r>
    </w:p>
    <w:p>
      <w:r>
        <w:rPr>
          <w:b/>
        </w:rPr>
        <w:t>E. 4.2</w:t>
      </w:r>
    </w:p>
    <w:p>
      <w:r>
        <w:t>Il convient donc, en premier lieu, de statuer sur les frais judiciaires de la procédure.</w:t>
      </w:r>
    </w:p>
    <w:p>
      <w:r>
        <w:rPr>
          <w:b/>
        </w:rPr>
        <w:t>E. 4.2.1</w:t>
      </w:r>
    </w:p>
    <w:p>
      <w:r>
        <w:t>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rPr>
          <w:b/>
        </w:rPr>
        <w:t>E. 4.2.2</w:t>
      </w:r>
    </w:p>
    <w:p>
      <w:r>
        <w:t>Si l'instance d'appel statue à nouveau, elle se prononce sur les frais de la première instance (art. 318 al. 3 CPC). Dès lors que ni la quotité ni la répartition des frais judiciaires et des dépens de première instance n'ont été remises en cause en appel (l'appelante n'ayant ni motivé son appel ni pris de conclusion sur ce point) et que ceux-ci ont été arrêtés conformément aux règles légales par le Tribunal (art. 95, 96, 104 al. 1, 107 al. 1 let. c CPC; art. 2 et 31 RTFMC), le jugement entrepris sera confirmé sur ce point.</w:t>
      </w:r>
    </w:p>
    <w:p>
      <w:r>
        <w:rPr>
          <w:b/>
        </w:rPr>
        <w:t>E. 4.3</w:t>
      </w:r>
    </w:p>
    <w:p>
      <w:r>
        <w:t>Se pose ainsi la question de l'octroi d'une provisio ad litem en faveur de l'appelante.</w:t>
      </w:r>
    </w:p>
    <w:p>
      <w:r>
        <w:rPr>
          <w:b/>
        </w:rPr>
        <w:t>E. 4.3.1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d'entretien (arrêts du Tribunal fédéral 4A_808/2016 du 21 mars 2017 consid. 4.1; 5A_372/2015 du 29 septembre 2015 consid. 4.1; 5A_448/2009 du 25 mai 2010 consid. 8.2).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(arrêt du Tribunal fédéral 5A_777/2014 du 4 mars 2015 consid. 6.2 et 6.3).</w:t>
      </w:r>
    </w:p>
    <w:p>
      <w:r>
        <w:rPr>
          <w:b/>
        </w:rPr>
        <w:t>E. 4.3.2</w:t>
      </w:r>
    </w:p>
    <w:p>
      <w:r>
        <w:t>En l'espèce, c'est à raison que le Tribunal a considéré que la participation à l'excédent dont bénéficiait l'appelante lui permettait d'assumer les frais de la procédure et qu'il ne se justifiait, dès lors, pas que l'intimé puise dans sa part d'excédent pour couvrir lesdits frais de son épouse en plus des siens propres. Partant, le chiffre 10 du dispositif du jugement attaqué sera confirmé.</w:t>
      </w:r>
    </w:p>
    <w:p>
      <w:r>
        <w:rPr>
          <w:b/>
        </w:rPr>
        <w:t>E. 5</w:t>
      </w:r>
    </w:p>
    <w:p>
      <w:r>
        <w:t>Les frais judiciaires de la procédure d'appel seront fixés à 1'600 fr. (art. 31 et 37 RTFMC), entièrement couverts par les avances de frais opérées par les parties, lesquelles demeurent intégralement acquises à l'Etat de Genève (art. 111 al. 1 CPC). Pour des motifs d'équité liés à la nature du litige, ils seront répartis à parts égales entre les parties (art. 95, 104 al. 1, 105, 106 al. 1 et 107 al. 1 let. c CPC). Pour les mêmes motifs, chaque partie supportera ses propres dépens d'appel (art. 107 al. 1 let. c CPC). * * * * * PAR CES MOTIFS, La Chambre civile : A la forme : Déclare recevables les appels interjetés le 1 er décembre 2022 par A______ et B______ contre le jugement JTPI/13663/2022 rendu le 16 novembre 2022 par le Tribunal de première instance dans la cause C/24171/2021-25. Au fond : Annule le chiffre 9 du dispositif du jugement entrepris et, statuant à nouveau sur ce point : Condamne B______ à verser à A______, par mois et d'avance, une contribution à son entretien de 930 fr. dès le 15 septembre 2021, sous déduction des montants d'ores et déjà versés à ce titre, soit un montant global de 13'366 fr. 65 entre le 15 septembre 2021 et le 30 novembre 2022. Dit que doivent être déduits des contributions dues en faveur de D______ et de E______ les montants d'ores et déjà versés à ce titre, soit un montant global de 13'366 fr. 65 entre le 15 septembre 2021 et le 30 novembre 2022 pour chacune d'elles. Confirme le jugement entrepris pour le surplus. Déboute les parties de toutes autres conclusions. Sur les frais : Arrête les frais judiciaires d'appel à 1'600 fr., les met à la charge des parties par moitié chacune et les compense avec les avances fournies par celles-ci, lesquelles demeurent entièrement acquises à l'Etat de Genève. Dit que chaque partie supporte ses propres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