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C/24012/2021 vom 11. November 2024</w:t>
      </w:r>
    </w:p>
    <w:p>
      <w:r>
        <w:t>GE Cour de justice, 2024-11-11, FR</w:t>
      </w:r>
    </w:p>
    <w:p>
      <w:r>
        <w:rPr>
          <w:b/>
        </w:rPr>
        <w:t xml:space="preserve">Quelle: </w:t>
      </w:r>
      <w:r>
        <w:t>https://mcp.opencaselaw.ch/entscheid/ge_gerichte_C_24012_2021</w:t>
      </w:r>
    </w:p>
    <w:p>
      <w:r>
        <w:t>FR: GE_GERICHTE C/24012/2021 du 11 novembre 2024</w:t>
      </w:r>
    </w:p>
    <w:p>
      <w:r>
        <w:t>IT: GE_GERICHTE C/24012/2021 del 11 novembre 2024</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consid.1). En l'espèce, la valeur litigieuse des dernières conclusions de première instance des parties est supérieure à 10'000 fr., de sorte que la voie de l'appel est ouverte.</w:t>
      </w:r>
    </w:p>
    <w:p>
      <w:r>
        <w:rPr>
          <w:b/>
        </w:rPr>
        <w:t>E. 1.2</w:t>
      </w:r>
    </w:p>
    <w:p>
      <w:r>
        <w:t>L'appel, écrit, a été introduit auprès de l'instance d'appel dans les 30 jours à compter de la notification de la décision motivée (art. 311 al. 1 CPC). Il est ainsi recevable sous ces angles.</w:t>
      </w:r>
    </w:p>
    <w:p>
      <w:r>
        <w:rPr>
          <w:b/>
        </w:rPr>
        <w:t>E. 1.3</w:t>
      </w:r>
    </w:p>
    <w:p>
      <w:r>
        <w:t>L'intimée soutient que l'appel serait irrecevable, motif pris de l'absence de critique du jugement. 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(ATF 147 III 176 consid. 4.2.1; parmi plusieurs: arrêts du Tribunal fédéral 4A_462/2022 du 6 mars 2023 consid. 5.1.1, publié in RSPC 2023 p. 268; 5A_453/2022 du 13 décembre 2022 consid. 3.1). L'instance supérieure doit pouvoir comprendre ce qui est reproché au premier juge, sans avoir à rechercher des griefs par elle-même, ce qui exige une certaine précision quant à l'énoncé et à la discussion des griefs ( ACJC/150/2019 consid. 3.1; Jeandin, Code de procédure civile commenté, 2 ème éd. 2019, n. 3 ad art. 311 CPC, et les références citées). En l'espèce, si la partie EN FAIT de l'acte d'appel reprend une partie des faits établis par le jugement, sans véritablement contester cet établissement des faits, il contient toutefois, dans la maigre partie EN DROIT des critiques à l'endroit du jugement, en tant qu'il considère que le contrat de bail du 18 décembre 2015 liait les parties, fondées sur plusieurs indices. Il est également reproché au Tribunal de ne pas avoir prononcé l'évacuation de l'intimée. La Cour discerne par conséquent les griefs soulevés par l'appelant. L'appel sera dès lors déclaré recevable.</w:t>
      </w:r>
    </w:p>
    <w:p>
      <w:r>
        <w:rPr>
          <w:b/>
        </w:rPr>
        <w:t>E. 1.4</w:t>
      </w:r>
    </w:p>
    <w:p>
      <w:r>
        <w:t>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L'appelant a produit des pièces nouvelles et formulé des allégations nouvelles.</w:t>
      </w:r>
    </w:p>
    <w:p>
      <w:r>
        <w:rPr>
          <w:b/>
        </w:rPr>
        <w:t>E. 1.5.1</w:t>
      </w:r>
    </w:p>
    <w:p>
      <w:r>
        <w:t>Dans le cadre d'un appel, les faits et moyens de preuve nouveaux ne sont recevables qu'aux conditions de l'art. 317 al. 1 CPC. Les nova improprement dits ne sont recevables que si la partie qui s'en prévaut ne pouvait les invoquer avant, malgré sa diligence, et si elle les présente sans retard (ATF 142 III 462 consid. 4.3; arrêts du Tribunal fédéral 4A_470/2022 consid. 4.1; 4A_376/2021 du 7 janvier 2022 consid. 4.2.2).</w:t>
      </w:r>
    </w:p>
    <w:p>
      <w:r>
        <w:rPr>
          <w:b/>
        </w:rPr>
        <w:t>E. 1.5.2</w:t>
      </w:r>
    </w:p>
    <w:p>
      <w:r>
        <w:t>En l'espèce, dans la mesure où les pièces nouvelles produites par l'appelant portent sur des faits survenus après que la cause a été gardée à juger par le Tribunal, elles sont recevables, ainsi que les allégués de fait s'y rapportant. Il a été tenu compte de ces faits nouveaux, soit du dépôt d'une plainte pénale contre l'associé-gérant de l'intimée en novembre 2023 et des échanges intervenus entre le conseil de l'appelant et le Procureur. La conclusion nouvelle de l'appelant tendant à la suspension de la présente procédure jusqu'à droit jugé sur l'issue de la procédure pénale est également recevable, car fondée sur les faits nouveaux recevables.</w:t>
      </w:r>
    </w:p>
    <w:p>
      <w:r>
        <w:rPr>
          <w:b/>
        </w:rPr>
        <w:t>E. 2</w:t>
      </w:r>
    </w:p>
    <w:p>
      <w:r>
        <w:t>L'appelant sollicite, à titre subsidiaire, la suspension de la présente procédure jusqu'à droit connu sur la plainte pénale qu'il a déposée à l'encontre de l'associé-gérant de l'intimée. Cette conclusion sera traitée en premier lieu, dans la mesure où si la suspension de la présente procédure devait être ordonnée, il n'y aurait pas lieu d'examiner les autres griefs de l'appelant.</w:t>
      </w:r>
    </w:p>
    <w:p>
      <w:r>
        <w:rPr>
          <w:b/>
        </w:rPr>
        <w:t>E. 2.1</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in Berner Kommentar, 2012, n. 1 ad art. 126 CPC). Le juge bénéficie d'un large pouvoir d'appréciation en la matière (arrêt du Tribunal fédéral 4A_683/2014 du 17 février 2015 consid. 2.1). Une suspension dans l'attente de l'issue d'un autre procès peut se justifier en cas de procès connexes, même s'il n'est pas nécessaire que l'objet du litige ou les parties soient les mêmes. Il s'agit en effet d'éviter des décisions contradictoires ou incohérentes (Frei, op. cit., n. 3 ad art. 126 CPC). En outre, la seconde procédure, dont l'issue sera déterminante pour le sort de la procédure suspendue, doit être déjà bien avancée faute de quoi, en règle générale, la suspension ne sera pas compatible avec l'exigence de célérité (Frei, op. cit., n. 5 ad art. 126 CPC). Comme le juge civil n'est pas lié par le jugement pénal (art. 53 CO), l'existence d'une procédure pénale ne justifiera toutefois qu'exceptionnellement la suspension de la procédure civile (arrêt du Tribunal fédéral 4A_683/2014 du 17 février 2015 consid. 2.1; Weber, in Kurzkommentar ZPO, 2ème éd. 2014, n. 7 ad art. 126 CPC; Gschwend/Bornatico, in Basler Kommentar, Schweizerische Zivilprozessordnung, 2ème éd. 2013, n. 13 ad art. 126 CPC; Frei, op. cit., nos 1 et 4 ad art. 126 CPC).</w:t>
      </w:r>
    </w:p>
    <w:p>
      <w:r>
        <w:rPr>
          <w:b/>
        </w:rPr>
        <w:t>E. 2.2</w:t>
      </w:r>
    </w:p>
    <w:p>
      <w:r>
        <w:t>En l'espèce, la plainte pénale a été déposée par l'appelant en novembre 2023. L'enquête menée par la Police se poursuit, de sorte que l'on ignore, d'une part, quand le rapport de police sera établi, et d'autre part, quelle sera son incidence dans la procédure pénale. Il n'est à ce stade pas rendu vraisemblable que le Ministère poursuivra la procédure. La procédure pénale n'étant qu'à ses balbutiements, il ne se justifie pas de suspendre la présente procédure, eu égard au principe de célérité.</w:t>
      </w:r>
    </w:p>
    <w:p>
      <w:r>
        <w:rPr>
          <w:b/>
        </w:rPr>
        <w:t>E. 3</w:t>
      </w:r>
    </w:p>
    <w:p>
      <w:r>
        <w:t>L'appelant reproche au Tribunal d'avoir retenu que le contrat de bail du 18 décembre 2015 liait les parties, alors qu'il n'en avait pas connaissance jusqu'à la présente procédure. 3.1.1 Celui qui résilie un contrat exerce un droit formateur; en prévoyant la faculté de donner congé, l'ordre juridique permet à un seul des cocontractants de modifier unilatéralement, par sa seule manifestation de volonté, la situation juridique de l'autre partie (ATF 135 III 44 consid. 3.3; 133 III 360 consid. 8.1.1). Il a été jugé que l'exercice d'un droit formateur doit être univoque, sans condition et revêtir un caractère irrévocable (ATF 135 III 44 consid. 3.3; 133 III 360 consid. 8.1.1; 128 III 129 consid. 2a). 3.1.2 La résiliation du bail est une décision unilatérale de volonté de l'une des parties au contrat, qui est soumise à réception. La théorie de la réception absolue implique que le point de départ du délai correspond au moment où la manifestation de volonté, soit la résiliation du bail, est parvenue dans la sphère d'influence du destinataire, de telle sorte qu'en organisant normalement ses affaires, celui-ci est à même d'en prendre connaissance. Lorsque la manifestation de volonté est communiquée par pli recommandé, si l'agent postal n'a pas pu le remettre effectivement au destinataire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143 III 15 consid. 4.1; 137 III 208 consid. 3.1.2). 3.1.3 En vertu de l’art. 266a al. 1 CO, lorsque le bail est de durée indéterminée, une partie peut le résilier en observant les délais de congé et les termes légaux, sauf si un délai plus long ou un autre terme a été convenu. Lorsque le bail porte sur un local commercial, le délai de congé est de six mois (art. 266d CO). Il s’agit d’un préavis relativement impératif (arrêt du Tribunal fédéral 4A_364/2010 du 30 septembre 2010 consid. 5.2 et les réf. cit.). Dès lors, les parties peuvent valablement convenir de préavis et d’échéances différents pour le bailleur et pour le locataire pour autant qu’elles respectent le minimum fixé par l’art. 266d CO (ATF 114 II 339 consid. 2b = JT 1989 I 174 ). Lorsque le délai ou le terme de congé n’est pas respecté, la résiliation produit effet pour le prochain terme pertinent (art. 266a al. 2 CO). Cette disposition s'applique pour le cas où celui qui donne congé s'est trompé sur le délai ou le terme de congé. Dans ce cas de figure, le congé mal donné produit ses effets au prochain terme possible. Cette règle tend exclusivement à corriger une erreur de date, et non pas une résiliation viciée dans ses conditions de fond (ATF 135 III 44 consid. 3.3). 3.1.4 Le locataire est tenu de restituer la chose au bailleur à la fin du bail (art. 267 al. 1 CO). 3.1.5 Chaque partie doit, si la loi ne prescrit pas le contraire, prouver les faits qu'elle allègue pour en déduire son droit (art. 8 CC). Le Tribunal établit sa conviction par une libre appréciation des preuves administrées (art. 157 CPC). A cette fin, il prend en considération tous les éléments concrets du cas particulier (ATF 132 III 109 consid. 2). La libre appréciation des preuves signifie que le juge apprécie librement la force probante des moyens de preuve administrés selon son intime conviction, sans être lié par des règles de preuve légales. Il n'y a pas de hiérarchie légale entre les moyens de preuves autorisés (ATF 133 I 33 consid. 21; arrêt du Tribunal fédéral 5A_113/2015 du 3 juillet 2015 consid. 3.2). Il y a violation sur le principe si le juge dénie d'emblée toute force probante à un moyen de preuve ou s'il retient en fin de compte son intime conviction (arrêt du Tribunal fédéral 4A_165/2009 du 15 juin 2019 consid. 5). En revanche, une appréciation des preuves fausse, voire arbitraire, ne viole pas le principe de la libre appréciation des preuves (ATF 143 III 297 consid. 9.3.2; arrêts du Tribunal fédéral 4A_234/2017 du 19 septembre 2017 consid. 4.2.2; 4A_607/2015 du 4 juillet 2016 consid. 3.2.2.2; 4A_165/2009 du 15 juin 2009 consid. 5).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III 226 consid. 4.2; 136 III 552 consid. 4.2; 134 V 53 consid. 4.3; 133 II 249 consid. 1.4.3; 129 I 8 consid. 2.1). Il ne suffit pas qu'une appréciation différente puisse être tenue pour également concevable, ou apparaisse même préférable (ATF 144 I 170 consid. 7.3; 142 II 369 consid. 4.3; 140 III 167 consid. 2.1; arrêt du Tribunal fédéral 4D_64/2021 du 8 décembre 2021 consid. 2.2).</w:t>
      </w:r>
    </w:p>
    <w:p>
      <w:r>
        <w:rPr>
          <w:b/>
        </w:rPr>
        <w:t>E. 3.2</w:t>
      </w:r>
    </w:p>
    <w:p>
      <w:r>
        <w:t>Dans le présent cas, il est constant que le congé notifié le 29 septembre 2020 est un congé ordinaire et que celui-ci n'a pas été contesté par l'intimée. L'appelant, à bien le comprendre, soutient d'une part que la date du 30 septembre 2020 ferait foi, s'agissant du respect du préavis de résiliation, et, d'autre part, que le contrat conclu le 15 décembre 2015 lierait les parties, et non celui signé le 18 décembre 2015. Le Tribunal aurait de manière arbitraire remis en cause l'attestation signée le 2 novembre 2021 par C______ et tenu compte de la méconnaissance de la langue française de l'intéressé. Les premiers juges n'auraient par ailleurs pas pris en compte l'éventualité que le contrat du 18 décembre 2015 "pourrait être un faux". Ils auraient ainsi mal apprécié les preuves. S'agissant de la résiliation du bail, celle-ci a été postée le 29 septembre 2020; l'intimée a été avisée le 30 septembre 2020 par la Poste de ce qu'elle pouvait retirer le pli auprès d'elle. Conformément aux principes rappelés supra, l'intimée est réputée avoir reçu le pli recommandé le lendemain, soit le 1 er octobre 2020. Les faits que l'intimée ne se soit pas rendue à la Poste et que le pli ait été retourné à l'appelant sont sans pertinence à cet égard. L'appelant soutient avoir découvert l'existence du contrat de bail du 18 décembre 2015 dans la présente procédure. Il résulte toutefois de procédures antérieures, notamment de la procédure en réduction de loyer et en validation de la consignation du loyer, initiée en 2019 par l'intimée, que l'existence de ces deux contrats avait déjà été abordée. Le Tribunal a également fait état de ces deux contrats, dans le jugement qu'il a rendu en septembre 2021 relatif à une requête en évacuation formée par l'appelant à l'encontre de l'intimée. L'appelant a ainsi connaissance du contrat du 18 décembre 2015 depuis 2019 à tout le moins. Par ailleurs, lors de son audition par le Tribunal dans le dernier trimestre de l'année 2020 (cause C/4______/2019), C______ a déclaré avoir signé deux contrats avec D______, pour le compte de A______, "à trois jours, peut-être une semaine d'intervalle". Le deuxième contrat avait été établi par D______ et était plus détaillé. Il comprenait par ailleurs plus de places de parking que le premier contrat, de même qu'un jardin. Dans la mesure où l'appelant a admis que C______ disposait des pouvoirs de conclure des contrats de bail pour son compte sur la parcelle en cause, l'appelant est réputé avoir eu connaissance de leurs conclusions. Il résulte également des déclarations du témoin précité que deux contrats ont été signés. Ainsi, il convient de retenir que le contrat du 15 décembre 2015 a été remplacé par celui du 18 décembre 2015, dont l'objet est plus large que le précédent. C'est à raison que le Tribunal a considéré que le contrat signé le 18 décembre 2015 liait les parties. En effet, l'avis de résiliation de bail mentionne l'atelier, le jardin de même que les dix-huit places de parking extérieures, lesquelles sont l'objet du contrat précité. Ce contrat précise également la destination des locaux, soit la préparation et le commerce de véhicules, activité que déploie l'intimée. L'attestation signée par C______ le 2 novembre 2021 de même que ses déclarations au Tribunal le 17 novembre 2023 sont sujettes à caution. En effet, comme retenu ci-avant, le témoin avait déclaré en 2020 avoir signé deux contrats avec l'intimée, avant de revenir sur cette déclaration dans l'attestation du 2 novembre 2021. Questionné sur la signature figurant sur le contrat du 18 décembre 2015, il a déclaré que cela semblait être sa signature, en contradiction avec l'affirmation contraire figurant dans l'attestation précitée. Il a ensuite déclaré, sans autre explication, qu'il n'avait pas connaissance du contrat en cause. Ses déclarations relatives à la rédaction de l'attestation du 2 novembre 2021 sont également floues, dès lors qu'il a prétendu d'une part avoir rédigé lui-même ce document, ce qui paraît peu probable, au vu de sa faible maitrise du français, puis d'autre part ne plus se souvenir de ce qu'il en était, soulignant que son avocate avait été présente. Le témoin a par ailleurs déclaré ne plus avoir de contact avec l'appelant depuis sa sortie de prison en mai 2018, de sorte que l'on peine à comprendre dans quelles circonstances cette attestation aurait été signée. C'est pour le surplus à raison que les premiers juges ont pris en considération le comportement de l'appelant, lequel a multiplié les poursuites contre l'intimée, ce dont il a été reconnu coupable, et fait pression sur l'intimée pour qu'elle quitte les locaux. Les amendes infligées par l'Office avaient trait aux logements que l'appelant louait sans respecter les normes légales y relatives, et non à la présence de l'intimée sur la parcelle. Au vu de l'ensemble de ce qui précède, le Tribunal a correctement apprécié les faits en retenant que le contrat du 18 décembre 2015 liait les parties. Ce contrat a été conclu pour une durée de cinq ans, du 1 er janvier 2016 au 31 décembre 2020, renouvelable pour une durée de cinq ans. La résiliation étant réputée reçue par l'intimée le 1 er octobre 2020, et le préavis de résiliation étant de six mois, s'agissant d'un local commercial, le congé ne peut déployer d'effet pour le 31 décembre 2020. Ses effets doivent, conformément aux règles rappelées ci-avant, être reportés à la prochaine échéance, soit au 31 décembre 2025. Prématurée, la requête en évacuation ne pouvait être que rejetée.</w:t>
      </w:r>
    </w:p>
    <w:p>
      <w:r>
        <w:rPr>
          <w:b/>
        </w:rPr>
        <w:t>E. 3.3</w:t>
      </w:r>
    </w:p>
    <w:p>
      <w:r>
        <w:t>Il s'ensuit que les griefs de l'appelant sont infondés, de sorte que le chiffre 1 du dispositif du jugement entrepris sera confirmé.</w:t>
      </w:r>
    </w:p>
    <w:p>
      <w:r>
        <w:rPr>
          <w:b/>
        </w:rPr>
        <w:t>E. 4</w:t>
      </w:r>
    </w:p>
    <w:p>
      <w:r>
        <w:t>A teneur de l'art. 22 al. 1 LaCC, il n'est pas prélevé de frais ni alloué de dépens dans les causes soumises à la juridiction des baux et loyers (ATF 139 III 182 consid. 2.6). * * * * * PAR CES MOTIFS, La Chambre des baux et loyers : A la forme : Déclare recevable l'appel interjeté le 18 avril 2024 par A______ contre le chiffre 1 du dispositif du jugement JTBL/225/2024 rendu le 4 mars 2024 par le Tribunal des baux et loyers dans la cause C/24012/2021‑13. Au fond : Confirme ce jugement. Dit que la procédure est gratuite. Déboute les parties de toutes autres conclusions. Siégeant : Madame Nathalie LANDRY-BARTHE, présidente; Madame Sylvie DROIN, Monsieur Laurent RIEBEN, juges; Madame Zoé SEILER, Monsieur Nicolas DAUDIN,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