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C/23948/2020 vom 25. Juni 2021</w:t>
      </w:r>
    </w:p>
    <w:p>
      <w:r>
        <w:t>GE Cour de justice, 2021-06-25, FR</w:t>
      </w:r>
    </w:p>
    <w:p>
      <w:r>
        <w:rPr>
          <w:b/>
        </w:rPr>
        <w:t xml:space="preserve">Quelle: </w:t>
      </w:r>
      <w:r>
        <w:t>https://mcp.opencaselaw.ch/entscheid/ge_gerichte_C_23948_2020</w:t>
      </w:r>
    </w:p>
    <w:p>
      <w:r>
        <w:t>FR: GE_GERICHTE C/23948/2020 du 25 juin 2021</w:t>
      </w:r>
    </w:p>
    <w:p>
      <w:r>
        <w:t>IT: GE_GERICHTE C/23948/2020 del 25 giugno 2021</w:t>
      </w:r>
    </w:p>
    <w:p>
      <w:pPr>
        <w:pStyle w:val="Heading2"/>
      </w:pPr>
      <w:r>
        <w:t>Regeste</w:t>
      </w:r>
    </w:p>
    <w:p>
      <w:r>
        <w:t>LP.82.al1; CO.32.al1; LP.82.al2</w:t>
      </w:r>
    </w:p>
    <w:p>
      <w:pPr>
        <w:pStyle w:val="Heading2"/>
      </w:pPr>
      <w:r>
        <w:t>Erwägungen</w:t>
      </w:r>
    </w:p>
    <w:p>
      <w:r>
        <w:rPr>
          <w:b/>
        </w:rPr>
        <w:t>E. 1</w:t>
      </w:r>
    </w:p>
    <w:p>
      <w:r>
        <w:t>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 1.3.1 Les conclusions, les allégations de faits et les preuves nouvelles sont irrecevables (art. 326 al. 1 CPC). Une nouvelle motivation juridique doit toutefois être distinguée des faits nouveaux. Elle n'est pas visée par l'art. 326 CPC et peut, dès lors, être présentée tant en appel que même devant le Tribunal fédéral, dans le cadre de l'objet du litige (ATF 136 V 362 consid. 4.1 par analogie). Ceci résulte en particulier du principe de l'application du droit d'office (art. 57 CPC; arrêt du Tribunal fédéral 5A_351/2015 du 1er décembre 2015 consid. 4.3). 1.3.2 En l'espèce, la pièce n. 6 produite par la recourante est nouvelle et partant irrecevable, ainsi que les allégués de fait s'y rapportant. Les extraits du Registre du commerce portent sur un fait notoire, qu'il n'est pas nécessaire d'alléguer ni de prouver (ATF 143 IV 380 consid. 1.1.1), de sorte qu'il peut être tenu compte de leur contenu. Par ailleurs, la nouvelle argumentation de la recourante figurant dans son recours est admissible. Quant aux titres n. 6 à 8 versés par l'intimée, ils sont nouveaux et irrecevables, de même que les allégués de fait y relatifs.</w:t>
      </w:r>
    </w:p>
    <w:p>
      <w:r>
        <w:rPr>
          <w:b/>
        </w:rPr>
        <w:t>E. 1.4</w:t>
      </w:r>
    </w:p>
    <w:p>
      <w:r>
        <w:t>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142 III 720 consid. 4.1.1). Le prononcé de mainlevée ne sortit que des effets de droit des poursuites et ne fonde pas l'exception de chose jugée (res judicata) quant à l'existence de la créance (ATF 140 III 48 consid. 3; 136 III 583 consid. 2.3; arrêt du Tribunal fédéral 5A_450/2019 du 24 février 2020 consid. 3.1).</w:t>
      </w:r>
    </w:p>
    <w:p>
      <w:r>
        <w:rPr>
          <w:b/>
        </w:rPr>
        <w:t>E. 2</w:t>
      </w:r>
    </w:p>
    <w:p>
      <w:r>
        <w:t>La recourante fait grief au Tribunal d'avoir retenu que les titres produits valaient reconnaissance de dette, alors qu'elle considère que "si la signature du devis traduit un accord sur le principe des travaux, cet accord ne vaut pas acceptation par avance de la facture finale !". Elle reproche également au premier juge de ne pas avoir vérifié le pouvoir de représentation des personnes ayant signé le devis.</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(Stucheli,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En particulier, le contrat d'entreprise vaut reconnaissance de dette pour le prix convenu, si l'entrepreneur établit avoir exécuté sa prestation (Veuillet, op. cit., n. 183 ad art. 82 LP). Le poursuivi qui invoque des défauts donnant droit à la réduction du montant réclamé en poursuite doit rendre vraisemblable l'existence des défauts signalés à temps, mais également chiffrer et rendre vraisemblable le montant de la réduction demandée, sans quoi la mainlevée doit être prononcée pour le tout (Veuillet, op. cit., n. 145, 146, 183 et 185 ad art. 82 LP). Des factures ne valent pas reconnaissance de dette et ce, même si elles ne sont pas contestées (arrêt du Tribunal fédéral 5P.290/2006 du 12 octobre 2006 consid. 3.2).</w:t>
      </w:r>
    </w:p>
    <w:p>
      <w:r>
        <w:rPr>
          <w:b/>
        </w:rPr>
        <w:t>E. 2.2</w:t>
      </w:r>
    </w:p>
    <w:p>
      <w:r>
        <w:t>Lorsque la reconnaissance de dette est signée par un représentant du débiteur, la mainlevée provisoire dans la poursuite introduite contre le représenté ne peut être prononcée que sur le vu d'une pièce attestant des pouvoirs du représentant (ATF 132 III 140 consid. 4.1.1;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130 III 87 consid. 3.1; arrêt du Tribunal fédéral 5D_17/2015 du 29 mai 2015 consid. 3.2).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132 III 140 ibid). En droit de la société anonyme, le conseil d'administration représente la société à l'égard des tiers (art. 718 al. 1, 1re phrase, CO). Selon l'art. 718 al. 2 CO, le conseil d'administration peut déléguer le pouvoir de représentation en particulier à un ou plusieurs de ses membres. Il est possible de prévoir un droit de signature collectif à deux (art. 718a al. 2 CO). Le conseil d'administration doit communiquer au registre du commerce le nom des personnes qui ont le droit de représenter la société (art. 720 CO). En dehors du système de représentation mis en place par l'art. 718 CO, une société anonyme, tout comme une personne physique, peut désigner un représentant, selon les mécanismes généraux des art. 32 ss CO, pour accomplir en son nom un ou plusieurs actes déterminés. La représentation des sociétés et entreprises commerciales n'est en aucune manière réservée aux fondés de procuration ou mandataires commerciaux inscrits en cette qualité (arrêt du Tribunal fédéral 4A_36/2011 du 15 mars 2011 consid. 2.2).</w:t>
      </w:r>
    </w:p>
    <w:p>
      <w:r>
        <w:rPr>
          <w:b/>
        </w:rPr>
        <w:t>E. 2.3</w:t>
      </w:r>
    </w:p>
    <w:p>
      <w:r>
        <w:t>Selon l'art. 82 al. 2 LP, le juge prononce la mainlevée si le débiteur ne rend pas immédiatement vraisemblable sa libération. Le poursuivi peut en outre faire échec à la mainlevée en rendant immédiatement vraisemblable sa libération (art. 82 al. 2 LP). De simples affirmations ne sont pas suffisantes. Contrairement à la procédure de mainlevée définitive, dans la mainlevée provisoire, le débiteur n'a pas à apporter la preuve absolue (ou stricte) de ses moyens libératoires, mais doit seulement les rendre vraisemblables (ATF 132 III 140 consid. 4.1.2).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(Veuillet, op. cit., n. 107 ad art. 82 LP et les références citées).</w:t>
      </w:r>
    </w:p>
    <w:p>
      <w:r>
        <w:rPr>
          <w:b/>
        </w:rPr>
        <w:t>E. 2.4</w:t>
      </w:r>
    </w:p>
    <w:p>
      <w:r>
        <w:t>En l'occurrence, l'intimée a produit un devis qu'elle avait établi le 2 décembre 2019, sur papier à entête de la société et signé par D______, portant sur des travaux d'un montant total de 24'501 fr. 75. Ce devis a ensuite été signé par la recourante à côté du timbre humide de l'entreprise, précisant qu'elle donnait son accord aux mêmes conditions que les travaux effectués dans la villa A. La recourante a transmis ledit devis contresigné par courriel à l'intimée, à l'attention de D______, courrier électronique qu'elle a également adressé en copie à C______. La recourante a par ailleurs payé l'acompte de 9'311 fr. 52 que lui a adressé l'intimée le 11 décembre 2019. Compte tenu des éléments qui précèdent, la recourante ne saurait de bonne foi soutenir, dans le cadre de la présente procédure, que D______ n'était pas autorisé à représenter l'intimée. En tout état, il apparaît que le précité était autorisé à agir au nom et pour le compte de l'intimée, de sorte qu'il était légitimé à représenter l'intimée. Comme l'a retenu à bon droit le Tribunal, le devis, accepté et signé, vaut reconnaissance de dette, la recourante s'étant engagée, sans réserve ni condition, à verser une somme déterminée pour les travaux qu'elle a commandés. De plus, la recourante n'a pas contesté que les travaux commandés ont été exécutés. Elle se borne à soutenir que les travaux seraient entachés de défauts. Elle ne rend toutefois pas vraisemblable que tel serait le cas, les allégués nouveaux et les pièces nouvellement produites étant à cet égard irrecevables. Pour le surplus, la recourante n'a fait valoir aucun moyen libératoire. Par conséquent, c'est à bon droit que le Tribunal a retenu que les pièces produites par l'intimée valaient reconnaissance de dette et partant de titre de mainlevée au sens de l'art. 82 LP.</w:t>
      </w:r>
    </w:p>
    <w:p>
      <w:r>
        <w:rPr>
          <w:b/>
        </w:rPr>
        <w:t>E. 2.5</w:t>
      </w:r>
    </w:p>
    <w:p>
      <w:r>
        <w:t>Le recours est ainsi infondé, de sorte qu'il sera rejeté.</w:t>
      </w:r>
    </w:p>
    <w:p>
      <w:r>
        <w:rPr>
          <w:b/>
        </w:rPr>
        <w:t>E. 3</w:t>
      </w:r>
    </w:p>
    <w:p>
      <w:r>
        <w:t>Les frais du recours, arrêtés à 600 fr., seront mis à la charge de la recourante qui succombe (art. 106 CPC), et compensés avec l'avance du même montant fournie par elle, laquelle demeure acquise à l'Etat de Genève (art. 111 al. 1 CPC). La recourante sera en outre condamnée à verser à l'intimée, la somme de 1'000 fr. à titre de dépens de recours, débours et TVA inclus (art. 85, 88 et 90 RTFMC; art. 25 et 26 LaCC). * * * * * PAR CES MOTIFS, La Chambre civile : A la forme : Déclare recevable le recours interjeté le 16 avril 2021 par A______ SA contre le jugement JTPI/4204/2021 rendu le 26 mars 2021 par le Tribunal de première instance dans la cause C/23948/2020-15 SML. Au fond : Le rejette. Déboute les parties de toutes autres conclusions. Sur les frais : Arrête les frais judiciaires du recours à 600 fr., compensés avec l'avance de frais fournie, et les met à la charge de A______ SA. Condamne A______ SA à verser à B______ SA 1'000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