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C/23934/2016 vom 19. September 2017</w:t>
      </w:r>
    </w:p>
    <w:p>
      <w:r>
        <w:t>GE Cour de justice, 2017-09-19, FR</w:t>
      </w:r>
    </w:p>
    <w:p>
      <w:r>
        <w:rPr>
          <w:b/>
        </w:rPr>
        <w:t xml:space="preserve">Quelle: </w:t>
      </w:r>
      <w:r>
        <w:t>https://mcp.opencaselaw.ch/entscheid/ge_gerichte_C_23934_2016</w:t>
      </w:r>
    </w:p>
    <w:p>
      <w:r>
        <w:t>FR: GE_GERICHTE C/23934/2016 du 19 septembre 2017</w:t>
      </w:r>
    </w:p>
    <w:p>
      <w:r>
        <w:t>IT: GE_GERICHTE C/23934/2016 del 19 settembre 2017</w:t>
      </w:r>
    </w:p>
    <w:p>
      <w:pPr>
        <w:pStyle w:val="Heading2"/>
      </w:pPr>
      <w:r>
        <w:t>Regeste</w:t>
      </w:r>
    </w:p>
    <w:p>
      <w:r>
        <w:t>MAINLEVÉE(LP) ; RECONNAISSANCE DE DETTE ; ERREUR ESSENTIELLE | LP.82.1; LP.82.2; CO.23; CO.211; CO.311; CO.312;</w:t>
      </w:r>
    </w:p>
    <w:p>
      <w:pPr>
        <w:pStyle w:val="Heading2"/>
      </w:pPr>
      <w:r>
        <w:t>Volltext</w:t>
      </w:r>
    </w:p>
    <w:p>
      <w:r>
        <w:t>Genève Cour de Justice (Cour civile) Chambre civile (Sommaires) 19.09.2017 C/23934/2016</w:t>
      </w:r>
    </w:p>
    <w:p>
      <w:r>
        <w:t>MAINLEVÉE(LP) ; RECONNAISSANCE DE DETTE ; ERREUR ESSENTIELLE | LP.82.1; LP.82.2; CO.23; CO.211; CO.311; CO.312;</w:t>
      </w:r>
    </w:p>
    <w:p>
      <w:r>
        <w:t>C/23934/2016 ACJC/1166/2017 du 19.09.2017 sur JTPI/4866/2017 ( SML ) , CONFIRME Descripteurs : MAINLEVÉE(LP) ; RECONNAISSANCE DE DETTE ; ERREUR ESSENTIELLE Normes : LP.82.1; LP.82.2; CO.23; CO.211; CO.311; CO.312; En fait En droit Par ces motifs RÉPUBLIQUE ET CANTON DE GENÈVE POUVOIR JUDICIAIRE C/23934/2016 ACJC/1166/2017 ARRÊT DE LA COUR DE JUSTICE Chambre civile du MARDI 19 SEPTEMBRE 2017 Entre Madame A______ , domiciliée ______ (VD), recourante contre un jugement rendu par la 26ème Chambre du Tribunal de première instance de ce canton le 6 avril 2017, comparant par Me Aba Neeman, avocat, place de l'Eglise 2, case postale 1224, 1870 Monthey 2, en l'étude duquel elle fait élection de domicile, et B______ SA , sise ______ (GE), intimée, comparant par Me Jean-Noël Jaton, avocat, avenue Général-Guisan 64, case postale 7399, 1002 Lausanne-Pully, en l'étude duquel elle fait élection de domicile. EN FAIT A. Par jugement JTPI/4866/2017 du 6 avril 2017, expédié pour notification aux parties le 10 avril 2017, le Tribunal de première instance a débouté A______ des fins de sa requête en mainlevée provisoire (ch. 1 du dispositif), arrêté les frais judiciaires à 1'000 fr. et laissé ceux-ci à la charge d'A______ qui en avait fait l'avance (ch. 2), condamné A______ à payer à B______ SA le montant de 2'000 fr. TTC au titre de dépens (ch. 3) et débouté les parties de toutes autres conclusions (ch. 4). En substance, le Tribunal a retenu que B______ SA avait rendu immédiatement vraisemblable sa libération puisqu'il résultait du dossier que celle-ci avait commis une erreur essentielle en confirmant par courrier du 15 juin 2012 à A______ que l'ensemble de ses portefeuilles représentaient à ce jour un solde évalué en 500'010 fr. 80, cette information ayant par la suite été invalidée par B______ SA dans le délai d'une année. B. a. Par acte expédié au greffe de la Cour de justice le 20 avril 2017, A______ a formé recours contre ce jugement dont elle a sollicité l'annulation. Elle a conclu, avec suite de frais et dépens, à ce que l'opposition formée au commandement de payer, poursuite n° 1______, soit provisoirement levée à concurrence de 500'010 fr. 80 avec intérêts à 5% l'an dès le 5 juin 2012. Subsidiairement, elle a sollicité l'annulation du jugement et le renvoi de la cause en première instance. A l'appui de son recours, elle a invoqué une constatation manifestement inexacte des faits par le premier juge en tant que ce dernier avait retenu que B______ SA avait commis une erreur essentielle en reconnaissant la dette en se basant essentiellement sur le rapport du 7 avril 2014 établi par C______SA, organe de révision de la B______ SA. A______ a également reproché au Tribunal d'avoir violé les articles 17 CO et 82 LP ainsi que les principes dégagés par la doctrine et la jurisprudence au regard de ces dispositions en retenant que B______ SA avait rendu vraisemblable sa libération. b. Dans sa réponse expédiée le 24 mai 2017, B______ SA a conclu au rejet du recours, avec suite de frais et dépens. c. Par réplique du 12 juin 2017, A______ a persisté dans ses conclusions. d. Par courrier du 20 juin 2017, B______ SA a informé la Cour renoncer à déposer une duplique. e. Par pli du greffe du 26 juin 2017, les parties ont été informées de ce que la cause était gardée à juger. C. Les faits pertinents suivants résultent de la procédure de première instance : a. A______ est cliente de la B______ SA, établissement ayant absorbé par fusion, le 29 novembre 2013, la D______. b. Feu E______, époux d'A______, décédé le ______2011, était également client de la D______. c. Par courrier du 5 juin 2012, la D______ a fait part à A______ de ce qui suit: "Pour faire suite à votre entretien téléphonique de ce jour avec M. F______, nous avons le plaisir de vous confirmer que l'ensemble de vos portefeuilles représente à ce jour un solde évalué en CHF de 500'010. 80". d. Par courrier du 3 décembre 2012, la D______ a fait savoir à A______ qu'elle avait fait erreur sur la titularité d'un compte numérique intitulé "G______", n° 2______, dont ni A______, ni feu E______ n'avaient en réalité jamais été titulaires. e. En première instance, B______ SA a produit le "Rapport sur les constatations effectives" de la société C______SA, son organe de révision, daté du 7 avril 2014, à teneur duquel "[…] [n]i feu M. E______ ni Mme A______ ne sont ou n'ont été titulaires, ayants droit économiques ou fondés de procuration sur la relation 2______ "G______". […] Un tiers sans aucun lien apparent avec les époux est et a toujours été le titulaire et ayant droit économique de la relation 2______ "G______"." EN DROIT 1. 1.1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 1.2 Le recours ayant été interjeté dans le délai et selon la forme prévus par la loi, il est par conséquent recevable. 2. Dans le cadre d'un recours, le pouvoir d'examen de la Cour est limité à la violation du droit et à la constatation manifestement inexacte des faits (art. 320 CPC). L'autorité de recours a plein pouvoir d'examen en droit, mais un pouvoir limité à l'arbitraire en fait, n'examinant par ailleurs que les griefs formulés et motivés par la partie recourante (Hohl, Procédure civile, Tome II, 2 ème édition, Berne, 2010, n° 2307). Par ailleurs, le recours étant instruit en procédure sommaire (art. 251 let. a CPC), la maxime des débats s'applique et la preuve des faits allégués doit être apportée par titre (art. 55 al. 1 et 254 CPC). En outre, la maxime de disposition s'applique (art. 58 al. 1 CPC). 3. La recourante reproche au premier juge de ne pas avoir retenu que le courrier du 5 juin 2012 qu'elle avait produit valait reconnaissance de dette, au sens des articles 17 CO et 82 LP, et, partant, de ne pas avoir prononcé la mainlevée provisoire de l'opposition au commandement de payer. 3.1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3.2 Selon l'art. 82 al. 2 LP, le juge prononce la mainlevée si le débiteur ne rend pas immédiatement vraisemblable sa libération.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 10 novembre 2011 consid. 3). A teneur de l'art. 23 CO, le contrat n'oblige pas celle des parties qui, au moment de conclure, se trouvait dans une erreur essentielle. Selon les articles 21 al. 1 et 31 al. 1 CO, la partie victime d'une lésion, d'une erreur essentielle, d'un dol ou d'une crainte fondée n'est pas obligée si elle déclare invalider le contrat dans le délai prévu par la loi. Par un tel droit formateur, la partie scelle définitivement le sort du contrat.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3.3 En l'espèce, la recourante a produit le courrier du 5 juin 2012 au titre de reconnaissance de dette, à teneur duquel l'intimée lui confirmait que "l'ensemble de [ses] portefeuilles représente à ce jour un solde évalué en CHF de CHF 500'010 fr. 80". Toutefois, il ressort du dossier que l'intimée a, le 3 décembre 2012, fait savoir à la recourante qu'elle avait commis une erreur essentielle lors de l'établissement du courrier du 5 juin 2012, informant ainsi la recourante que cette dernière n'était en réalité pas la titulaire, respectivement la bénéficiaire, du compte n° 2______ "G______", mais un tiers. La vraisemblance de l'erreur essentielle commise par l'intimée est corroborée par le rapport daté du 14 avril 2014 de la société C______SA, produit par l'intimée et à teneur duquel ni la recourante ni feu son mari ne sont ou n'ont été titulaires, ayants droit économiques ou fondés de procuration du compte n° 2______ "G______". Il n'y a en effet aucun motif de douter de la valeur probante de ce rapport, C______SA étant un organe de révision indépendant. Enfin, l'intimée ayant, dans le délai d'une année, déclaré invalider le courrier du 5 juin 2012 pour erreur essentielle, c'est à juste titre que le premier juge a refusé de prononcer la mainlevée provisoire de l'opposition formée par l'intimée au commandement de payer litigieux sur la base du courrier du 5 juin 2012, l'intimée ayant immédiatement rendu vraisemblable le moyen libératoire susmentionné. Contrairement à ce que soutient la recourante, la jurisprudence du Tribunal fédéral rendue dans le cadre de la falsification de signatures n'est pas applicable au cas d'espèce - même par analogie - cette question n'étant pas litigieuse dans la présente procédure. Les considérations qui précèdent suffisent à sceller le sort du recours, de sorte qu'il est superflu d'examiner les autres griefs de la recourante. Le recours sera dès lors rejeté. 4. La recourante, qui succombe (art. 106 al. 1 CPC), supportera les frais du recours arrêtés à 1'500 fr. (art. 48 et 61 OELP), couverts par l'avance déjà opérée par elle, qui reste acquise à l'Etat de Genève (art. 111 al. 1 CPC). La recourante sera en outre condamnée à verser à l'intimée la somme de 1'500 fr. à titre de dépens de recours, débours et TVA compris (art. 105 al. 2 CPC; art. 84, 85, 89 et 90 RTFMC; art. 23, 25 et 26 LaCC). * * * * * PAR CES MOTIFS, La Chambre civile : A la forme : Déclare recevable le recours formé le 20 avril 2017 par A______ contre le jugement JTPI/4866/2017 rendu le 6 avril 2017 par le Tribunal de première instance dans la cause C/23934/2016-26 SML. Au fond : Le rejette. Déboute les parties de toutes autres conclusions. Sur les frais du recours : Arrête les frais à 1'500 fr., compensés avec l'avance fournie par A______, qui reste acquise à l'Etat de Genève. Les met à la charge d'A______. Condamne A______ à payer à B______ SA la somme de 1'500 fr. à titre de dépens. Siégeant : Madame Nathalie LANDRY-BARTHE, présidente; Madame Pauline ERARD, Monsieur Laurent RIEBEN, juges; Madame Céline FERREIRA, greffière. La présidente : Nathalie LANDRY-BARTHE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