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C/23850/2015 vom 30. Dezember 2016</w:t>
      </w:r>
    </w:p>
    <w:p>
      <w:r>
        <w:t>GE Cour de justice, 2016-12-30, FR</w:t>
      </w:r>
    </w:p>
    <w:p>
      <w:r>
        <w:rPr>
          <w:b/>
        </w:rPr>
        <w:t xml:space="preserve">Quelle: </w:t>
      </w:r>
      <w:r>
        <w:t>https://mcp.opencaselaw.ch/entscheid/ge_gerichte_C_23850_2015</w:t>
      </w:r>
    </w:p>
    <w:p>
      <w:r>
        <w:t>FR: GE_GERICHTE C/23850/2015 du 30 décembre 2016</w:t>
      </w:r>
    </w:p>
    <w:p>
      <w:r>
        <w:t>IT: GE_GERICHTE C/23850/2015 del 30 dicembre 2016</w:t>
      </w:r>
    </w:p>
    <w:p>
      <w:pPr>
        <w:pStyle w:val="Heading2"/>
      </w:pPr>
      <w:r>
        <w:t>Regeste</w:t>
      </w:r>
    </w:p>
    <w:p>
      <w:r>
        <w:t>CONDUITE DU PROCÈS; DÉCISION ; DOMMAGE IRRÉPARABLE ; DROIT D'ÊTRE ENTENDU | CPC.319b; CPC.125a</w:t>
      </w:r>
    </w:p>
    <w:p>
      <w:pPr>
        <w:pStyle w:val="Heading2"/>
      </w:pPr>
      <w:r>
        <w:t>Erwägungen</w:t>
      </w:r>
    </w:p>
    <w:p>
      <w:r>
        <w:rPr>
          <w:b/>
        </w:rPr>
        <w:t>E. 1.1</w:t>
      </w:r>
    </w:p>
    <w:p>
      <w:r>
        <w:t>L'appel est recevable contre les décisions finales ou incidentes de première instance, dans les causes non patrimoniales ou dont la valeur litigieuse, au dernier état des conclusions devant l'autorité inférieure, est supérieure à 10'000 fr. (art. 308 al. 1 let. a et al. 2 CPC). ![endif]&gt;![if&gt; Le Tribunal rend une décision incidente lorsque l'instance de recours pourrait prendre une décision contraire qui mettrait fin au procès et permettrait de réaliser une économie de temps ou de frais appréciable (art. 237 al. 1 CPC). Constituent en particulier des décisions incidentes celles par lesquelles la juridiction de première instance admet la recevabilité de la demande et rejette les moyens soulevés contre celle-ci par le défendeur (Nicolas Jeandin/Aude Peyrot, Précis de procédure civile, 2015, § 755).</w:t>
      </w:r>
    </w:p>
    <w:p>
      <w:r>
        <w:rPr>
          <w:b/>
        </w:rPr>
        <w:t>E. 1.2</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(art. 319 let. b ch. 2 CPC). Par définition, les décisions visées à l'art. 319 let. b CPC ne sont ni finales, ni partielles, ni incidentes, ni provisionnelles. Il s'agit de décisions d'ordre procédural par lesquelles le tribunal détermine le déroulement formel et l'organisation matérielle de l'instance (Freiburghaus/Afheldt, Kommentar zur Schweizerischen Zivilprozessordnung, 2013, n. 11 ad art. 319 CPC; Jeandin, in Code de procédure civile commenté, 2011, n. 11 ad art. 319 CPC).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Message du Conseil fédéral du 28 juin 2006 relatif au code de procédure civile suisse, FF 2006 6841, p. 6984). Le recours, écrit et motivé, doit être introduit dans les 10 jours à compter de la notification de la décision motivée (art. 321 al. 1 CPC). Le délai ne court pas du 15 juillet au 15 août inclus (art. 145 al. 1 let. b CPC).</w:t>
      </w:r>
    </w:p>
    <w:p>
      <w:r>
        <w:rPr>
          <w:b/>
        </w:rPr>
        <w:t>E. 1.3</w:t>
      </w:r>
    </w:p>
    <w:p>
      <w:r>
        <w:t>En l'espèce, par l'ordonnance entreprise, le Tribunal des prud'hommes a refusé d'ordonner une instruction limitée à la compétence avant de mener l'instruction sur le fond du litige. Il n'a pas admis sa compétence pour connaître des prétentions dirigées par l'intimé à l'encontre de A______, précisant que cette question serait examinée tout au long de l'instruction de la procédure. L'ordonnance entreprise ne constitue ainsi pas une décision incidente susceptible d'appel. Elle consiste en revanche en une ordonnance d'instruction, dans la mesure où le Tribunal statue sur la conduite et le déroulement de la procédure, de sorte qu'elle peut faire l'objet d'un recours, à la condition qu'elle soit susceptible de causer à la recourante un préjudice difficilement réparable (art. 319 let. b ch. 2 CPC).</w:t>
      </w:r>
    </w:p>
    <w:p>
      <w:r>
        <w:rPr>
          <w:b/>
        </w:rPr>
        <w:t>E. 1.4</w:t>
      </w:r>
    </w:p>
    <w:p>
      <w:r>
        <w:t>La recourante reproche au Tribunal d'avoir refusé de limiter dans un premier temps l'instruction à la question de sa compétence, et de lui imposer de la sorte de se soumettre à une procédure extrêmement longue, coûteuse et complexe. Elle expose qu'elle ne pourra que difficilement obtenir remboursement de ses frais, vu l'absence d'allocation de dépens en matière prud'homale.</w:t>
      </w:r>
    </w:p>
    <w:p>
      <w:r>
        <w:rPr>
          <w:b/>
        </w:rPr>
        <w:t>E. 1.4.1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w:t>
      </w:r>
    </w:p>
    <w:p>
      <w:r>
        <w:rPr>
          <w:b/>
        </w:rPr>
        <w:t>E. 1.4.2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arrêt du Tribunal fédéral 1C_458/2011 du 29 février 2012 consid. 3.1).</w:t>
      </w:r>
    </w:p>
    <w:p>
      <w:r>
        <w:rPr>
          <w:b/>
        </w:rPr>
        <w:t>E. 1.4.3</w:t>
      </w:r>
    </w:p>
    <w:p>
      <w:r>
        <w:t>En l'espèce, le Tribunal a, par l'ordonnance querellée, refusé de limiter l'instruction de la cause à la question de sa compétence pour connaître des prétentions dirigées à l'encontre de la recourante. Il a tenu compte de l'écriture de l'intimé du 14 juillet 2016, sans l'avoir au préalable transmise à la recourante. Cette dernière n'a ainsi pas pu prendre position ni se déterminer sur l'argumentation soumise au Tribunal avant que ce dernier ne rende sa décision. Son droit d'être entendue a donc été violé. La procédure s'annonce par ailleurs longue et complexe. Elle porte sur des prétentions formulées par l'intimé au titre de rémunération variable, de valeur du portefeuille au titre du plan d'intéressement, et de dividendes, dirigées à l'encontre de deux sociétés, dont il est allégué qu'elles forment une société simple et sont solidairement responsables à l'égard de l'intimé. L'état de faits allégués dans la demande est complexe, l'audition de nombreux témoins est requise, dont plusieurs sont domiciliés à l'étranger. Il apparaît dans ces circonstances disproportionné d'exiger de la recourante qu'elle attende le prononcé du jugement final pour se plaindre de la violation de son droit d'être entendue commise à peine la cause introduite. La condition du préjudice difficilement réparable est dès lors réalisée. Le recours est ainsi recevable.</w:t>
      </w:r>
    </w:p>
    <w:p>
      <w:r>
        <w:rPr>
          <w:b/>
        </w:rPr>
        <w:t>E. 2</w:t>
      </w:r>
    </w:p>
    <w:p>
      <w:r>
        <w:t>La recourante demande à la Chambre des prud'hommes d'annuler l'ordonnance entreprise, au motif que la violation de son droit d'être entendue ne peut être réparée en seconde instance.</w:t>
      </w:r>
    </w:p>
    <w:p>
      <w:r>
        <w:rPr>
          <w:b/>
        </w:rPr>
        <w:t>E. 2.1</w:t>
      </w:r>
    </w:p>
    <w:p>
      <w:r>
        <w:t>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(ATF 137 I 195 consid. 2.2 et 2.3.2).</w:t>
      </w:r>
    </w:p>
    <w:p>
      <w:r>
        <w:rPr>
          <w:b/>
        </w:rPr>
        <w:t>E. 2.2</w:t>
      </w:r>
    </w:p>
    <w:p>
      <w:r>
        <w:t>En l'espèce, l'ordonnance entreprise a été rendue en violation du droit d'être entendue de la recourante. Elle porte sur les modalités d'instruction de la procédure, sans prononcer aucune mesure provisoire dont l'effectivité pourrait justifier de limiter la portée de cette garantie procédurale (ATF 139 I 189 ). Certes, l'écriture de l'intimé du 14 juillet 2016 lui a été transmise lors de la notification de l'ordonnance entreprise, et la recourante a pu se déterminer dans le cadre de son acte de recours. La violation de son droit d'être entendue ne peut toutefois être guérie dans la présente procédure de recours, dès lors que la question litigieuse porte sur l'opportunité de limiter l'instruction, que la Chambre de céans ne peut revoir librement, sa cognition étant restreinte à la violation de la loi et à la constatation manifestement inexacte des faits (art. 320 CPC). Il convient dès lors, sur ce seul motif, d'annuler l'ordonnance querellée. Il appartiendra au Tribunal de permettre à la recourante et à C______ de se déterminer sur l'écriture de l'intimé du 14 juillet 2016, et de laisser ensuite aux parties un temps suffisant pour toute réplique éventuelle avant de rendre une nouvelle décision. La Chambre de céans n'entrera enfin pas en matière, dans le cadre de la présente procédure de recours, sur les conclusions de la recourante en irrecevabilité des prétentions formulées par l'intimé à son égard, dès lors qu'il s'agit de la question qu'il conviendra de trancher au terme de l'instruction dont les modalités sont litigieuses. Ces conclusions, formulées dans l'acte de recours, n'ont au demeurant pas été soumises au Tribunal des prud'hommes (art. 326 CPC).</w:t>
      </w:r>
    </w:p>
    <w:p>
      <w:r>
        <w:rPr>
          <w:b/>
        </w:rPr>
        <w:t>E. 3</w:t>
      </w:r>
    </w:p>
    <w:p>
      <w:r>
        <w:t>Les frais judiciaires du présent recours, arrêtés à 2'500 fr., seront laissés à la charge de l'Etat (art. 107 al. 2 CPC). L'avance fournie par A______ à hauteur de 2'500 fr. lui sera restituée. Il ne sera pas alloué de dépens (art. 22 al. 2 LaCC). * * * * * PAR CES MOTIFS, La Chambre des prud'hommes, groupe 3 : A la forme : Déclare recevable le recours interjeté par A______ contre l'ordonnance OTPH/1059/2016 rendue le 25 juillet 2016 par le Tribunal de première instance dans la cause C/23850/2015. Au fond : Annule cette ordonnance. Déboute les parties de toutes autres conclusions. Sur les frais : Arrête les frais judiciaires à 2'500 fr. et les laisse à la charge de l'Etat de Genève. Invite les Services financiers du Pouvoir judiciaire à restituer à A______ la somme de 2'500 fr. Dit qu'il n'est pas alloué de dépens. Siégeant Madame Ursula ZEHETBAUER GHAVAMI, présidente; Monsieur Tito VILA, juge employeur; Madame Monique LENOIR, juge salariée; Madame Véronique BULUNDWE,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