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C/23753/2017 vom 15. März 2018</w:t>
      </w:r>
    </w:p>
    <w:p>
      <w:r>
        <w:t>GE Cour de justice, 2018-03-15, FR</w:t>
      </w:r>
    </w:p>
    <w:p>
      <w:r>
        <w:rPr>
          <w:b/>
        </w:rPr>
        <w:t xml:space="preserve">Quelle: </w:t>
      </w:r>
      <w:r>
        <w:t>https://mcp.opencaselaw.ch/entscheid/ge_gerichte_C_23753_2017</w:t>
      </w:r>
    </w:p>
    <w:p>
      <w:r>
        <w:t>FR: GE_GERICHTE C/23753/2017 du 15 mars 2018</w:t>
      </w:r>
    </w:p>
    <w:p>
      <w:r>
        <w:t>IT: GE_GERICHTE C/23753/2017 del 15 marzo 2018</w:t>
      </w:r>
    </w:p>
    <w:p>
      <w:pPr>
        <w:pStyle w:val="Heading2"/>
      </w:pPr>
      <w:r>
        <w:t>Regeste</w:t>
      </w:r>
    </w:p>
    <w:p>
      <w:r>
        <w:t>DIVORCE ; MESURE PROVISIONNELLE ; UTILISATION ; GARAGE(CONSTRUCTION) ; ATTRIBUTION DE L'EFFET SUSPENSIF | CPC.315</w:t>
      </w:r>
    </w:p>
    <w:p>
      <w:pPr>
        <w:pStyle w:val="Heading2"/>
      </w:pPr>
      <w:r>
        <w:t>Erwägungen</w:t>
      </w:r>
    </w:p>
    <w:p>
      <w:r>
        <w:rPr>
          <w:b/>
        </w:rPr>
        <w:t>E. 28</w:t>
      </w:r>
    </w:p>
    <w:p>
      <w:r>
        <w:t>août 2015 consid. 5); Qu'en l'espèce, l'appelant soutient que son disponible mensuel de 1'400 fr. ne lui permet pas de verser un quelconque montant à titre de provisio ad litem ; qu'il n'étaye toutefois d'aucune manière cette affirmation; qu'il ne rend ainsi pas vraisemblable qu'il ne dispose pas du montant de 5'000 fr. et que son versement l'exposerait par conséquent à d'importantes difficultés financières; Que si l'intimée a reçu un montant de 22'000 fr. qui lui permettrait de couvrir ses frais de procès comme le soutient l'appelant, elle sera vraisemblablement en mesure de lui rembourser, dans l'hypothèse où l'appel était admis, le montant de 5'000 fr. versé par l'appelant; Que pour le surplus, l'appelant, qui a conclu à l'annulation de l'ordonnance attaquée et à la suspension du caractère exécutoire de celle-ci, n'explique pas pour quel motif l'effet suspensif à son appel devrait être accordé concernant les autres chiffres du dispositif de ladite ordonnance que le ch. 3 relatif à la provisio ad litem ; Qu'au vu de ce qui précède, la demande tendant à suspendre le caractère exécutoire de l'ordonnance attaquée sera rejetée; Qu'il sera statué sur les frais et dépens liés à la présente décision avec la décision au fond (art. 104 al. 3 CPC). * * * * * PAR CES MOTIFS, La Chambre civile : Statuant sur requête de suspension du caractère exécutoire de l'ordonnance entreprise : Rejette la requête formée par A______ tendant à suspendre le caractère exécutoire de l'ordonnance OTPI/161/2018 rendue le 15 mars 2018 par le Tribunal de première instance dans la cause C/23753/2017-20.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