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C/2371/2014 vom 30. April 2014</w:t>
      </w:r>
    </w:p>
    <w:p>
      <w:r>
        <w:t>GE Cour de justice, 2014-04-30, FR</w:t>
      </w:r>
    </w:p>
    <w:p>
      <w:r>
        <w:rPr>
          <w:b/>
        </w:rPr>
        <w:t xml:space="preserve">Quelle: </w:t>
      </w:r>
      <w:r>
        <w:t>https://mcp.opencaselaw.ch/entscheid/ge_gerichte_C_2371_2014</w:t>
      </w:r>
    </w:p>
    <w:p>
      <w:r>
        <w:t>FR: GE_GERICHTE C/2371/2014 du 30 avril 2014</w:t>
      </w:r>
    </w:p>
    <w:p>
      <w:r>
        <w:t>IT: GE_GERICHTE C/2371/2014 del 30 aprile 2014</w:t>
      </w:r>
    </w:p>
    <w:p>
      <w:pPr>
        <w:pStyle w:val="Heading2"/>
      </w:pPr>
      <w:r>
        <w:t>Regeste</w:t>
      </w:r>
    </w:p>
    <w:p>
      <w:r>
        <w:t>BAIL À LOYER; LOCAL PROFESSIONNEL; CONTRAT COMMUN</w:t>
      </w:r>
    </w:p>
    <w:p>
      <w:pPr>
        <w:pStyle w:val="Heading2"/>
      </w:pPr>
      <w:r>
        <w:t>Erwägungen</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La valeur litigieuse est également déterminée par les dernières conclusions de première instance (art. 91 al. 1 CPC; Jeandin, Code de procédure civile commenté, Bâle, 2011, n. 13 ad art. 308 CPC; arrêt du Tribunal fédéral 4A_594/2012 du 28 février 2013).</w:t>
      </w:r>
    </w:p>
    <w:p>
      <w:r>
        <w:rPr>
          <w:b/>
        </w:rPr>
        <w:t>E. 2.2</w:t>
      </w:r>
    </w:p>
    <w:p>
      <w:r>
        <w:t>En l'espèce, la présente procédure a trait à une demande d'évacuation avec mesures d'exécution directe, dans laquelle la question de la validité du congé ne se pose pas. La valeur litigieuse correspond dès lors à la somme des loyers entre le moment du dépôt de l'appel et le moment où le déguerpissement de l'appelant pourra vraisemblablement être exécuté par la force publique, soit 18'009 fr. (loyer mensuel charges comprises de 2'001 fr. x 9 mois).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Par ailleurs, la procédure a également trait à une demande en paiement supérieure à 10'000 fr. La voie de l'appel est ainsi ouverte contre la décision d'évacuation et le paiement d'indemnités pour occupation illicite.</w:t>
      </w:r>
    </w:p>
    <w:p>
      <w:r>
        <w:rPr>
          <w:b/>
        </w:rPr>
        <w:t>E. 2.3</w:t>
      </w:r>
    </w:p>
    <w:p>
      <w:r>
        <w:t>L'appelante a reçu le jugement le 8 mai 2014. L'appel a ainsi été interjeté dans le délai et suivant la forme prescrits par la loi (art. 130, 131, 311 al. 1 CPC). Il est par conséquent recevable. Dès lors que l'appelante ne remet pas en cause le prononcé de l'évacuation ni les mesures d'exécution ordonnées par les premiers juges, l'appel est irrecevable, faute de motivation suffisante.</w:t>
      </w:r>
    </w:p>
    <w:p>
      <w:r>
        <w:rPr>
          <w:b/>
        </w:rPr>
        <w:t>E. 2.4</w:t>
      </w:r>
    </w:p>
    <w:p>
      <w:r>
        <w:t>La Cour revoit la cause avec un plein pouvoir d'examen (art. 310 CPC; Hohl, Procédure civile, tome II, 2010, n. 2314 et 2416; Rétornaz, op. cit., p. 349 ss, n. 121).</w:t>
      </w:r>
    </w:p>
    <w:p>
      <w:r>
        <w:rPr>
          <w:b/>
        </w:rPr>
        <w:t>E. 3</w:t>
      </w:r>
    </w:p>
    <w:p>
      <w:r>
        <w:t>3.1 Le bail à loyer est conclu généralement entre deux cocontractants. Il se peut toutefois que le bail soit conclu avec plusieurs locataires. Il s'agit alors d'un bail commun; lorsqu'un tel contrat est conclu entre un bailleur et plusieurs colocataires, le terme utilisé est location commune ou colocation (Micheli, Les colocataires dans le bail commun, in 8 ème Séminaire sur le droit du bail, Neuchâtel 1994, p. 3; Weber, Der gemeinsame Mietvertrag, thèse Zurich 1993, p. 88; Schmid, Der gemeinsame Mietvertrag, in SJZ 1991, p. 349). Un tel contrat implique la cession de l'usage des locaux aux colocataires conformément à la définition prévue à l'art. 253 CO (arrêt du Tribunal fédéral 4C.103/2006 du 3 juillet 2006).</w:t>
      </w:r>
    </w:p>
    <w:p>
      <w:r>
        <w:rPr>
          <w:b/>
        </w:rPr>
        <w:t>E. 3.2</w:t>
      </w:r>
    </w:p>
    <w:p>
      <w:r>
        <w:t>Dans le cas d'espèce, le contrat de bail a été conclu entre la bailleresse de l'époque, d'une part, et l'appelante et l'intimé, d'autre part. Le bail précisait que les locataires étaient engagés conjointement et solidairement. Le jugement de divorce n'a pas attribué le dépôt à l'un ou l'autre des ex-conjoints et n'en fait pas mention. Le juge du divorce n'est au demeurant compétent que pour attribuer les droits et obligations découlant du logement familial (art. 121 CC). Il ne résulte pas d'autres pièces du dossier que la bailleresse aurait accepté de libérer l'appelante de ses obligations relatives au dépôt litigieux. La Cour retient dès lors que l'appelante est engagée, conjointement et solidairement, aux côtés de l'intimé. Contrairement à ce qu'elle soutient, l'appelante est codébitrice des loyers et indemnités restés en souffrance. L'appelante sera dès lors déboutée de ses conclusions.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mai 2014 par A______ contre le jugement JTBL/470/2014 rendu le 30 avril 2014 par le Tribunal des baux et loyers dans la cause C/2371/2014-8. Au fond : Confirme ce jugement.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