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C/23342/2012 vom 28. Juni 2017</w:t>
      </w:r>
    </w:p>
    <w:p>
      <w:r>
        <w:t>GE Cour de justice, 2017-06-28, FR</w:t>
      </w:r>
    </w:p>
    <w:p>
      <w:r>
        <w:rPr>
          <w:b/>
        </w:rPr>
        <w:t xml:space="preserve">Quelle: </w:t>
      </w:r>
      <w:r>
        <w:t>https://mcp.opencaselaw.ch/entscheid/ge_gerichte_C_23342_2012</w:t>
      </w:r>
    </w:p>
    <w:p>
      <w:r>
        <w:t>FR: GE_GERICHTE C/23342/2012 du 28 juin 2017</w:t>
      </w:r>
    </w:p>
    <w:p>
      <w:r>
        <w:t>IT: GE_GERICHTE C/23342/2012 del 28 giugno 2017</w:t>
      </w:r>
    </w:p>
    <w:p>
      <w:pPr>
        <w:pStyle w:val="Heading2"/>
      </w:pPr>
      <w:r>
        <w:t>Regeste</w:t>
      </w:r>
    </w:p>
    <w:p>
      <w:r>
        <w:t>EFFET SUSPENSIF | CPC.315;</w:t>
      </w:r>
    </w:p>
    <w:p>
      <w:pPr>
        <w:pStyle w:val="Heading2"/>
      </w:pPr>
      <w:r>
        <w:t>Volltext</w:t>
      </w:r>
    </w:p>
    <w:p>
      <w:r>
        <w:t>Genf Cour de Justice (Cour civile) Chambre civile 28.06.2017 C/23342/2012 Genève Cour de Justice (Cour civile) Chambre civile 28.06.2017 C/23342/2012 Ginevra Cour de Justice (Cour civile) Chambre civile 28.06.2017 C/23342/2012</w:t>
      </w:r>
    </w:p>
    <w:p>
      <w:r>
        <w:t>EFFET SUSPENSIF | CPC.315;</w:t>
      </w:r>
    </w:p>
    <w:p>
      <w:r>
        <w:t>C/23342/2012 ACJC/797/2017 du 28.06.2017 sur JTPI/13430/2016 ( OO ) Descripteurs : EFFET SUSPENSIF Normes : CPC.315; Par ces motifs RÉPUBLIQUE ET CANTON DE GENÈVE POUVOIR JUDICIAIRE C/23342/2012 ACJC/797/2017 ARRÊT DE LA COUR DE JUSTICE Chambre civile du mercredi 28 juin 2017 Entre Monsieur A______ , domicilié ______, appelant d'un jugement rendu par la 18ème Chambre du Tribunal de première instance de ce canton le 1er novembre 2016, comparant par Me Cyrille Piguet, avocat, rue du Grand-Chêne 8, case postale 5463, 1002 Lausanne, en l'étude duquel il fait élection de domicile, et Madame B______ , domiciliée ______ (France), intimée, comparant par Me Mike Hornung, avocat, place du Bourg-de-Four 9, 1204 Genève, en l'étude duquel elle fait élection de domicile. Vu le jugement JTPI/13430/2016 du 1 er novembre 2016 par lequel le Tribunal de première instance a débouté A______ de toutes ses conclusions [en libération de dette], prononcé la mainlevée définitive de l'opposition formée au commandement de payer, poursuite 1______, à concurrence de 1'441'320 fr. avec intérêts à 5% dès le 1 er janvier 2007, dit que ladite poursuite n'irait pas sa voie et statué sur les frais; Vu l'appel formé contre ce jugement par A______ le 5 décembre 2016; Attendu, EN FAIT, que celui-ci conclut à titre préalable à ce que l'effet suspensif soit accordé, tout en relevant la teneur de l'art. 315 CPC; Considérant, EN DROIT, que la valeur litigieuse de la présente cause est supérieure à 10'000 fr. puisqu'elle correspond au montant en poursuite de 1'441'320 fr., selon les dernières conclusions de l'intimée; Que la Cour est dès lors saisie d'un appel (art. 308 al. 1 let. b et al. 2 CPC); Que selon l'art. 315 al. 1 CPC, l'appel suspend la force de chose jugée et le caractère exécutoire de la décision dans la mesure des conclusions prises en appel; Que l'appel bénéficie dès lors d'un effet suspensif ex lege ; Que la requête formée à cet égard par A______ est en conséquence sans objet; Qu'il sera statué sur les frais liés à la présente décision dans l'arrêt rendu sur le fond. * * * * * PAR CES MOTIFS, La Chambre civile : Statuant sur requête de suspension de l'effet exécutoire du jugement entrepris : Dit que la requête formée par A______ tendant à suspendre l'effet exécutoire attaché au jugement JTPI/13430/2016 rendu le 1 er novembre 2016 par le Tribunal de première instance est sans objet. Dit qu'il sera statué sur les frais liés à la présente décision dans l'arrêt rendu sur le fond. Siégeant : Madame Pauline ERARD, présidente ad interim; Madame Anne-Lise JAQUIER, greffière. La présidente ad interim : Pauline ERARD La greffière : Anne-Lise JAQUIER Indications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