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C/23276/2020 vom 4. April 2023</w:t>
      </w:r>
    </w:p>
    <w:p>
      <w:r>
        <w:t>GE Cour de justice, 2023-04-04, FR</w:t>
      </w:r>
    </w:p>
    <w:p>
      <w:r>
        <w:rPr>
          <w:b/>
        </w:rPr>
        <w:t xml:space="preserve">Quelle: </w:t>
      </w:r>
      <w:r>
        <w:t>https://mcp.opencaselaw.ch/entscheid/ge_gerichte_C_23276_2020</w:t>
      </w:r>
    </w:p>
    <w:p>
      <w:r>
        <w:t>FR: GE_GERICHTE C/23276/2020 du 4 avril 2023</w:t>
      </w:r>
    </w:p>
    <w:p>
      <w:r>
        <w:t>IT: GE_GERICHTE C/23276/2020 del 4 aprile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L'appel, écrit et motivé, doit être introduit auprès de l'instance d'appel dans les dix jours à compter de la notification de la décision attaquée, s'agissant de mesures provisionnelles qui sont soumises à la procédure sommaire (art. 248 let. d, 311 al. 1 et 314 al. 1 CPC). Le litige portant exclusivement sur le montant de contributions d'entretien et les arriérés y relatifs, il est de nature pécuniaire (ATF 133 III 393 consid. 2; arrêts du Tribunal fédéral 5A_42/2013 du 27 juin 2013 consid. 1.1; 5A_906/2012 du 18 avril 2013 consid. 1; 5A_236/2011 du 18 octobre 2011 consid. 1). En l'espèce, la capitalisation, conformément à l'art. 92 al. 1 CPC, du montant des contributions d'entretien restées litigieuses au vu des dernières conclusions des parties devant le premier juge excède largement 10'000 fr. La voie de l'appel est ouverte.</w:t>
      </w:r>
    </w:p>
    <w:p>
      <w:r>
        <w:rPr>
          <w:b/>
        </w:rPr>
        <w:t>E. 1.2</w:t>
      </w:r>
    </w:p>
    <w:p>
      <w:r>
        <w:t>Formé en temps utile et selon la forme prescrite par la loi (art. 130 al. 1 et 314 al. 1 CPC), l'appel est recevable.</w:t>
      </w:r>
    </w:p>
    <w:p>
      <w:r>
        <w:rPr>
          <w:b/>
        </w:rPr>
        <w:t>E. 1.3</w:t>
      </w:r>
    </w:p>
    <w:p>
      <w:r>
        <w:t>La Cour revoit la cause en fait et en droit avec un plein pouvoir d'examen (art. 310 CPC). La présente cause est soumise aux maximes d'office et inquisitoire illimitée en tant qu'elle concerne la contribution d'entretien due à des enfants mineurs en vertu du droit de la famille (art. 296 al. 1 et 3 CPC; ATF 147 III 301 consid. 2.2). La Cour n'est donc pas liée par les conclusions des parties, ni par l'interdiction de la reformatio in pejus (ATF 129 III 417 consid. 2.1.1; arrêts du Tribunal fédéral 5A_841/2018 , 5A_843/2018 du 12 février 2020 consid. 5.2).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 arrêt du Tribunal fédéral 5A_12/2013 du 8 mars 2013 consid. 2.2).</w:t>
      </w:r>
    </w:p>
    <w:p>
      <w:r>
        <w:rPr>
          <w:b/>
        </w:rPr>
        <w:t>E. 2</w:t>
      </w:r>
    </w:p>
    <w:p>
      <w:r>
        <w:t>Les parties ont produit de nouvelles pièces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w:t>
      </w:r>
    </w:p>
    <w:p>
      <w:r>
        <w:rPr>
          <w:b/>
        </w:rPr>
        <w:t>E. 2.2</w:t>
      </w:r>
    </w:p>
    <w:p>
      <w:r>
        <w:t>En l'espèce, les pièces nouvelles produites en appel concernent la situation financière et personnelle de la famille, de sorte qu'elles sont recevables.</w:t>
      </w:r>
    </w:p>
    <w:p>
      <w:r>
        <w:rPr>
          <w:b/>
        </w:rPr>
        <w:t>E. 3</w:t>
      </w:r>
    </w:p>
    <w:p>
      <w:r>
        <w:t>L'appelante remet en cause le calcul de la contribution d'entretien due à l'enfant, ainsi que des questions connexes, soit la répartition de l'entretien entre les parents et la détermination du dies a quo des contributions dues par l'intimé.</w:t>
      </w:r>
    </w:p>
    <w:p>
      <w:r>
        <w:rPr>
          <w:b/>
        </w:rPr>
        <w:t>E. 3.1.1</w:t>
      </w:r>
    </w:p>
    <w:p>
      <w:r>
        <w:t>En cas de suspension de la vie commune, le juge fixe les contributions d'entretien à verser d'une part à l'époux et d'autre part aux enfants mineurs, d'après les dispositions sur les effets de la filiation (art. 176 al. 1 ch. 1 et al. 3 CC). 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w:t>
      </w:r>
    </w:p>
    <w:p>
      <w:r>
        <w:rPr>
          <w:b/>
        </w:rPr>
        <w:t>E. 3.1.2</w:t>
      </w:r>
    </w:p>
    <w:p>
      <w:r>
        <w:t>A teneur de l'art. 276 al. 1 CC, l'entretien de l'enfant est assuré par les soins, l'éducation et des prestations pécuniaires, ces trois éléments étant considérés comme équivalents (ATF 147 III 265 consid. 5.5;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Il en résulte que le parent qui ne prend pas en charge l'enfant ou qui ne s'en occupe que partiellement doit en principe subvenir à son entretien financier (arrêt du Tribunal fédéral 5A_450/2020 précité, ibidem ). La contribution d'entretien doit correspondre aux besoins de l'enfant ainsi qu'à la situation et aux ressources des père et mère, compte tenu de la fortune et des revenus de l'enfant (art. 285 CC).</w:t>
      </w:r>
    </w:p>
    <w:p>
      <w:r>
        <w:rPr>
          <w:b/>
        </w:rPr>
        <w:t>E. 3.1.3</w:t>
      </w:r>
    </w:p>
    <w:p>
      <w:r>
        <w:t>La loi n'impose pas de méthode de calcul particulière pour arrêter la contribution d'entretien. Sa fixation relève de l'appréciation du juge, qui jouit d'un large pouvoir en la matière et applique les règles du droit et de l'équité (art. 4 CC; ATF 140 III 337 consid. 4.2.2; 134 III 577 consid. 4; 128 III 411 consid. 3.2.2). Dans trois arrêts publiés récents (ATF 147 III 265 , in SJ 2021 I 316; 147 III 293 et 147 III 301 ), le Tribunal fédéral a posé, pour toute la Suisse, une méthode de calcul uniforme des contributions d'entretien du droit de la famille – soit la méthode du minimum vital avec répartition de l'excédent (dite en deux étapes).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w:t>
      </w:r>
    </w:p>
    <w:p>
      <w:r>
        <w:rPr>
          <w:b/>
        </w:rPr>
        <w:t>E. 3.1.4</w:t>
      </w:r>
    </w:p>
    <w:p>
      <w:r>
        <w:t>Dans le calcul des besoins, le point de départ est le minimum vital du droit des poursuites, comprenant l'entretien de base selon les normes d'insaisissabilité (NI 2021 - RS/GE E 3 60.04), auquel sont ajoutées les dépenses incompressibles, à savoir, pour l'enfant, les primes d'assurance-maladie obligatoire, les frais de transports publics, les frais de formation, les frais médicaux non pris en charge par une assurance, une part des frais de logement du parent gardien et les frais de garde par des tiers (ATF 147 III 265 précité consid. 7.2). Selon la jurisprudence, si la situation financière des parties est serrée et que l'on s'en tient au minimum vital LP, les frais de véhicule ne peuvent être pris en considération que si le véhicule est indispensable au débiteur personnellement (cf. le cas d'un invalide : ATF 108 III 60 consid. 3) ou nécessaire à l'exercice de sa profession, l'utilisation des transports publics ne pouvant être raisonnablement exigée (ATF 110 III 17 consid. 2d; arrêts du Tribunal fédéral 5A_144/2021 du 28 mai 2021 consid. 6.2; 5A_845/2012 du 2 octobre 2013 consid. 3.3; 5A_100/2012 du 30 août 2012 consid. 5.1; 5A_703/2011 du 7 mars 2012 consid. 4.2). A contrario , lorsque le minimum vital de droit de la famille est pris en compte, les frais de véhicule peuvent s'ajouter aux charges des parties même s'ils ne sont pas strictement indispensables (arrêt du Tribunal 5A_703/2011 du 7 mars 2012 consid. 4.2).</w:t>
      </w:r>
    </w:p>
    <w:p>
      <w:r>
        <w:rPr>
          <w:b/>
        </w:rPr>
        <w:t>E. 3.1.5</w:t>
      </w:r>
    </w:p>
    <w:p>
      <w:r>
        <w:t>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arrêt du Tribunal fédéral 5A_848/2019 du 2 décembre 2020 consid. 7.1 et les références citées). Le versement d'une contribution d'entretien en espèces suppose toutefois une capacité contributive correspondante (art. 285 al. 1 CC), ce qui est le cas lorsque les revenus du parent intéressé excèdent ses propres besoins (arrêts du Tribunal fédéral 5A_450/2020 du 4 janvier 2021 consid. 5.3; 5A_848/2019 précité consid. 7.1).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arrêts du Tribunal fédéral 5A_117/2021 du 9 mars 2022 consid. 4.2; 5A_870/2020 du 7 mai 2021 consid. 4.3; 5A_583/2018 du 18 janvier 2019 consid. 5.1; 5A_584/2018 du 10 octobre 2018 consid. 4.3 et les références citées). Dans ce contexte, l'ampleur de l'excédent et le rapport entre la capacité financière des parents sont en corrélation. Meilleure est la situation financière et plus l'excédent du parent qui s'occupe principalement de l'enfant est élevé, plus on aura tendance à prendre en considération une participation dudit parent à l'entretien en espèces de l'enfant (arrêt du Tribunal fédéral 5A_44/2020 du 8 juin 2021 consid. 10.1 et les arrêts cités).</w:t>
      </w:r>
    </w:p>
    <w:p>
      <w:r>
        <w:rPr>
          <w:b/>
        </w:rPr>
        <w:t>E. 3.1.6</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w:t>
      </w:r>
    </w:p>
    <w:p>
      <w:r>
        <w:rPr>
          <w:b/>
        </w:rPr>
        <w:t>E. 3.1.7</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5A_932/2015 du 10 mai 2016 consid. 4.3.2), sous imputation des avances d'entretien éventuellement effectuées par le débirentier pendant cette période (ATF 138 III 583 consid. 6.1.2; 135 III 315 consid 2.3).</w:t>
      </w:r>
    </w:p>
    <w:p>
      <w:r>
        <w:rPr>
          <w:b/>
        </w:rPr>
        <w:t>E. 3.1.8</w:t>
      </w:r>
    </w:p>
    <w:p>
      <w:r>
        <w:t>Au vu des maximes d'office et inquisitoire illimitée applicables à la fixation de l'entretien de l'enfant, applicables aussi lors de la ratification d'une convention d'entretien, le tribunal doit éclaircir les points pertinents y compris lorsqu'il lui est demandé de ratifier une convention d'entretien (ATF 148 III 370 consid. 6.4).</w:t>
      </w:r>
    </w:p>
    <w:p>
      <w:r>
        <w:rPr>
          <w:b/>
        </w:rPr>
        <w:t>E. 3.2.1</w:t>
      </w:r>
    </w:p>
    <w:p>
      <w:r>
        <w:t>S'agissant en premier lieu de la situation financière de l'appelante, plus précisément de ses revenus, la solution du premier juge, à laquelle souscrit l'intimé, ne peut pas être retenue. En effet, il n'est pas soutenable de se fonder sur le salaire moyen en dollars américains pour toute la période considérée, puis de le convertir selon le taux applicable au moment du prononcé, puisque, compte tenu des fluctuations de taux, le résultat de ce calcul ne correspond pas aux montants effectivement perçus en francs suisses par l'appelante. Or, celle-ci a produit des documents permettant de déterminer avec précision les salaires qui lui ont été versés en francs suisses, qui sont seuls déterminants. Ainsi, l'appelante a perçu en moyenne 10'200 fr. par mois entre 2020 et 2022, après déduction des allocations perçues pour son fils, rien n'indiquant que son salaire se serait modifié depuis lors. S'agissant de la prétendue réduction prévisible alléguée par l'appelante de l'allocation qu'elle perçoit pour son logement, aucune pièce ne la rend vraisemblable. Quant à ses charges, il y a lieu, vu le niveau de vie relativement aisé de la famille et compte tenu de la situation de l'enfant, de retenir les frais de véhicule privé invoqué : en effet, si l'utilisation d'une voiture n'est pas rendue strictement nécessaire par la localisation du domicile de l'appelante, de ses activités professionnelles et de l'école et des autres lieux de prise en charge de l'enfant, il n'en demeure pas moins que l'usage d'un véhicule revêt vraisemblablement une utilité, compte tenu notamment du fait que l'appelante prend en charge seule son enfant, qui nécessite des soins particuliers, et travaille à temps plein parallèlement. L'appelante requiert qu'un montant de 750 fr. soit inclus mensuellement dans son budget; les pièces produites font état d'une dépense mensuelle de 350 fr. à titre de frais fixes (assurance, parking) et 250 fr. d'essence (ce dernier montant paraissant excessivement important si le véhicule est uniquement utilisé dans le périmètre du canton de Genève). Les frais de véhicule admis seront donc limités à 500 fr., ce qui correspond à ce qui a été alloué à l'intimé et couvre adéquatement les besoins rendus vraisemblables. En outre, le loyer de l'appelante passera de 2'400 fr. à 3'000 fr. arrondis à sa charge dès le 1 er août 2023, ce dont il s'impose de tenir compte. Par conséquent, les charges mensuelles de l'appelante seront arrêtées, jusqu'au 31 juillet 2023, à 4'600 fr. (4'100 fr. [charges non contestées] + 500 fr. [frais de véhicule]), puis 5'200 fr. dès le 1 er août 2023 (augmentation du loyer de 600 fr.). Le disponible de l'appelante est ainsi de 5'600 fr. (10'200 fr. - 4'600 fr.), puis sera de 5'000 fr. (10'200 fr. - 5'200 fr.).</w:t>
      </w:r>
    </w:p>
    <w:p>
      <w:r>
        <w:rPr>
          <w:b/>
        </w:rPr>
        <w:t>E. 3.2.2</w:t>
      </w:r>
    </w:p>
    <w:p>
      <w:r>
        <w:t>S'agissant de la situation financière de l'intimé, l'appelante critique le montant des revenus arrêtés par le Tribunal en soutenant que l'intimé percevrait des revenus supplémentaires, qu'elle n'a pas chiffrés. Aucun élément du dossier ne fait apparaître qu'il percevrait un salaire supérieur à 13'380 fr., ni quelle serait la quotité de ce salaire prétendument dissimulé et variable. Par conséquent, le montant retenu par le Tribunal sera confirmé. Quant aux charges mensuelles, l'appelante entend écarter les frais de voiture, ce à quoi il ne peut être souscrit, au vu des ressources financières des parties et du fait que l'intimé allègue avoir besoin d'une voiture (au moins pour se rendre à l'aéroport de G______ étant donné qu'il n'est ni vraisemblable, ni crédible que l'intimé puisse s'y rendre à pied). S'agissant des frais de logement, un montant de 2'100 fr. par mois, même adapté au standard de vie canadien, ne paraît pas excessif. La baisse que demande l'appelante ne repose que sur sa seule appréciation et ne peut donc être suivie, étant précisé qu'elle n'a, au contraire de l'intimé qui a produit des annonces de location immobilière, pas rendu vraisemblable qu'il était possible de se loger à meilleur prix dans la région visée. Il apparaît en outre, au vu des circonstances d'espèce, notamment de la situation financière et professionnelle des parties, exagéré d'imposer à l'intimé de déménager à F______. Par ailleurs, le logement occupé par l'intimé est conforme au niveau de vie des parties, étant précisé que le loyer de l'appelante est nettement plus élevé. Le premier juge a motivé de manière relativement détaillée la question de la fréquence du droit de visite et des coûts y relatifs, que l'appelante se limite, en quatre lignes, à considérer excessifs, ce qui ne constitue pas une motivation d'appel suffisante. L'intimé ayant rendu vraisemblable qu'il pratiquait régulièrement son droit de visite, il n'y a pas lieu de s'écarter de la décision du premier juge sur ce point. Les charges de l'intimé n'étant au surplus pas contestées, elles seront confirmées au montant de 9'460 fr. arrêté par le premier juge. L'intimé demeure donc mensuellement avec un montant de 3'920 fr.</w:t>
      </w:r>
    </w:p>
    <w:p>
      <w:r>
        <w:rPr>
          <w:b/>
        </w:rPr>
        <w:t>E. 3.2.3</w:t>
      </w:r>
    </w:p>
    <w:p>
      <w:r>
        <w:t>Reste la question des charges mensuelles de l'enfant, pour lequel des allocations en 480 fr. sont perçues mensuellement. L'appelante ne convainc guère en soutenant qu'il serait notoire que des frais de nourrice ont été supportés pour la période de septembre 2021 à juillet 2022, sans s'appuyer sur des pièces. Ses griefs sur ce point seront d'emblée rejetés. Il y a lieu de tenir compte cependant de l'augmentation du loyer du logement de l'appelante dans les charges de l'enfant, lesquelles passeront, s'agissant de ce poste de 600 fr. à 760 fr. mensuellement dès le 1 er août 2023. Le raisonnement du Tribunal concernant les frais d'ergothérapie, tout autant que les arguments des parties et leurs calculs, ne sont pas aisés à comprendre. Il n'en demeure pas moins qu'il n'est pas contesté que l'enfant se rend à de telles séances, qui sont bénéfiques pour lui, que l'ergothérapeute facture des montants variables selon les périodes, vraisemblablement en fonction des vacances et autres impondérables (allant de 250 fr. à 475 fr. environ par mois) et que l'assurance maladie de l'enfant rembourse environ la moitié des frais encourus, laissant donc à la charge de l'appelante un montant se situant entre 125 fr. et 240 fr. arrondis par mois. Il s'ensuit que le montant de 63 fr. retenu par le Tribunal est manifestement insuffisant. Il sera donc nouvellement fixé à 200 fr. par mois en l'état et au vu du pouvoir d'appréciation de la Cour sur mesures protectrices, permettant ainsi de tenir adéquatement compte des besoins de l'enfant sur ce chapitre durant toute la période considérée. Les frais relatifs à des camps ou des activités I______ invoqués par l'appelante ne sont pas rendus vraisemblables en l'absence de facture ou d'autres documents concordants permettant de retenir que celle-ci encourait des dépenses supérieures au montant de 35 fr. par mois retenu par le Tribunal pour des activités bénéfiques à l'enfant. S'agissant des frais de transport individuel que l'appelante invoque pour emmener son fils à des séances de psychomotricité, elle ne rend pas vraisemblable qu'il serait nécessaire, eu égard aux problèmes de santé de l'enfant, de le transporter en véhicule individuel jusqu'à ses séances. Rien dans le dossier ne permet de retenir que l'enfant ne serait pas capable de prendre le bus. En outre, il n'est pas rendu vraisemblable que les séances ne pourraient pas avoir lieu chez un spécialiste plus proche du domicile. Enfin, les frais de voiture de l'appelante sont désormais pris en compte, de sorte qu'il est superfétatoire d'intégrer encore dans le budget de l'enfant des frais de véhicule individuel. Ces griefs seront rejetés. Etant donné qu'il existe des solutions très modiques (par exemple, carte junior ou enfant accompagné des CFF pour 30 fr. par an) permettant à l'enfant de voyager accompagné en transports publics, étant précisé qu'il n'est pas envisageable à ce stade qu'il se déplace seul, aucun montant ne sera intégré à ce titre dans son budget. S'agissant enfin des frais de thérapie " J______ " que l'appelante invoque, elle n'a produit aucun document permettant de déterminer les coûts y relatifs, se limitant à des estimations, sans aucun devis, ni facture. Il s'ensuit que ces frais n'ont pas été suffisamment rendus vraisemblables. Ils ne peuvent donc être ni pris en considération au titre de frais extraordinaires - l'appelante admettant elle-même qu'il s'agirait de frais récurrents destinés à durer -, ni au titre de charges ordinaires de l'enfant. Dans le même ordre d'idée, il ne saurait être question de mettre des " frais médicaux non-remboursés " à la charge de l'intimé, même partiellement, puisque cette notion est beaucoup trop vague, l'appelante écrivant elle-même que ces frais sont impossibles à chiffrer précisément. Ainsi, en l'absence d'autres frais extraordinaires concrètement allégués, point n'est besoin de prononcer un mode de prise en charge de ceux-ci. Il est admis par les parties que des frais de sortie scolaire et de garderie le matin sont supportés à raison de 108 fr. par mois. Ils seront donc pris en compte. L'appelante réclame enfin un montant pour les vacances, qui n'entre pourtant pas dans le calcul du minimum vital de droit de la famille. Au vu de ce qui précède, les charges actuelles de l'enfant représentent 3'418 fr. par mois, correspondant à : montant de base LP (400 fr.), part du loyer (600 fr.), frais médicaux non remboursés (41 fr.), frais de sorties scolaires obligatoires (50 fr.), frais de garderie (58 fr.), frais de nourrice (2'034 fr.), frais d'ergothérapie (200 fr.), frais de camp avec la fondation I______ (35 fr.) et frais scolaires (108 fr.). Elles seront augmentées à 3'578 fr. par mois dès le 1 er août 2023, en raison de l'augmentation de la part de loyer pour l'enfant de 600 fr. à 760 fr. Ainsi, il sied d'arrêter l'entretien de base de l'enfant à 3'000 fr. arrondis par mois pour toute la période postérieure au 1 er décembre 2022 après déduction des allocations perçues par l'appelante pour l'enfant, montant qui prend convenablement en compte ses charges essentielles. A l'instar de la décision entreprise, il sied encore de déterminer le montant d'excédent revenant à l'enfant, ainsi que la répartition de la contribution entre les deux parents, points critiqués par l'appelante. Etant donné que l'appelante assume pratiquement seule les soins quotidiens de l'enfant, il se justifie de faire supporter l'entretien en argent de l'enfant - soit ses besoins essentiels hors excédent - à l'intimé, même si l'appelante bénéficie d'un disponible plus important. En effet, la fréquence des visites restreintes et l'éloignement géographique important du père font reposer une charge importante sur les épaules de la mère de l'enfant autiste, qui demande donc des soins particuliers et constants. Bien que l'appelante bénéficie d'un disponible plus élevé que l'intimé, cette différence n'est pas sensiblement importante. L'intimé sera donc condamné à verser 3'000 fr. par mois pour l'entretien de l'enfant. S'agissant de la répartition du disponible, les parents demeureront avec, respectivement, 5'600 fr., puis 5'000 fr. par mois pour l'appelante et 1'000 fr. pour l'intimé. Il est donc injustifié de mettre à la charge de l'intimé une part du disponible en faveur de l'enfant, dès lors que les montants à libre disposition de l'appelante sont suffisants pour couvrir tant sa part d'excédent que celle de l'enfant. Ainsi, l'intimé sera condamné à verser 3'000 fr. par mois à l'entretien de son fils dès décembre 2022. La question de la période antérieure sera examinée ci-après.</w:t>
      </w:r>
    </w:p>
    <w:p>
      <w:r>
        <w:rPr>
          <w:b/>
        </w:rPr>
        <w:t>E. 3.3</w:t>
      </w:r>
    </w:p>
    <w:p>
      <w:r>
        <w:t>S'agissant de la question du dies a quo du versement des contributions d'entretien pour l'enfant, le Tribunal a retenu que l'engagement de l'intimé de verser 800 fr. par mois, couplé aux faits que les parties n'avaient jamais discuté une quelconque contribution avant juillet 2020 et que l'intimé avait été davantage présent auprès de l'enfant à cette époque, étaient suffisants pour retenir l'existence d'un accord entre les parties et exonérer l'intimé de verser un montant supplémentaire pour la période de novembre 2019 à juillet 2020. Pour la période postérieure, durant laquelle l'intimé avait versé, conformément à son engagement pris en audience, 2'000 fr. par mois, ce montant était suffisant, étant donné que les charges mensuelles de l'enfant étaient inférieures à celles qui étaient les siennes actuellement. Ce raisonnement ne peut toutefois être suivi. Il convient à titre préalable de confirmer que le droit d'obtenir les contributions d'entretien pour l'enfant est par principe ouvert depuis mi-novembre 2019, étant donné le dépôt de la requête le 13 novembre 2020. Le fait que l'intimé soutienne que la séparation des parties serait postérieure est sans incidence, puisqu'il est établi que les parties ne faisaient plus ménage commun dès février 2019 et que l'appelante était donc légitimée à obtenir des versements en argent pour l'entretien de l'enfant dès cette période. L'engagement d'octobre 2019 est peu clair et contradictoire en ce que B______ atteste percevoir un montant mensuel, alors qu'il semble que le but de cette attestation était plutôt de prouver qu'il versait un montant mensuel. Peu importe, au vu de ce qui suit. Le Tribunal a semblé vouloir qualifier cet engagement de convention des parties sur l'entretien de l'enfant. Or, il ne pouvait pas se limiter à le ratifier sans autre examen préalable. Rien ne permet de retenir que le montant convenu était suffisant, sans avoir établi de budget correspondant aux besoins de l'enfant. Quoi qu'il en soit, étant donné que l'enfant se rendait à la crèche à cette époque, il est vraisemblable que la somme de 800 fr. par mois était insuffisante pour couvrir ses besoins. Le fait que l'intimé ait passé un temps important auprès de son fils est un facteur d'appréciation à prendre en compte, mais encore faudrait-il connaître les besoins de l'enfant, et parmi eux, ceux qu'il avait directement pris en charge. D'ailleurs, la thèse de l'appelante selon laquelle cet engagement n'était que de pure forme pour l'aider à obtenir une place en crèche est crédible, plus particulièrement au vu du fait que l'intimé n'a pas versé le moindre montant en exécution de cette convention. Il faut donc conclure que cet engagement ne liait pas les parties. En outre, pour la période antérieure à décembre 2022, le Tribunal a motivé sa décision par le fait que le budget de l'enfant était inférieur - ce que confirment les budgets produits en appel par l'appelante - et que le montant payé par l'intimé, soit 2'000 fr. était suffisant. Pour cette période, l'appelante ne conteste pas que le budget de l'enfant était inférieur à ce qu'il est actuellement. Elle soutient que la décision du premier juge serait arbitraire, en ce qu'il avait omis d'établir un budget détaillé pour cette période. Or, le premier juge a avancé plusieurs éléments fondant son raisonnement selon lequel le montant de 2'000 fr. par mois versé alors par l'intimé était suffisant. En se limitant à produire d'autres budgets, sans développer de critiques concrètes sur le raisonnement du premier juge (mis à part la question des frais de nourrice examinée ci-dessus), l'appelante échoue à démontrer que la décision du premier juge serait erronée dans son principe. Plus particulièrement, le premier juge n'a pas, comme elle le soutient, omis de statuer sur les montants devant être payés par l'intimé, mais il a implicitement opéré la compensation entre les sommes versées et les sommes qu'il considérait dues. La décision du Tribunal ne peut pourtant pas être confirmée sur ce point encore. En effet, l'intimé reconnaît lui-même que les charges de l'enfant se situaient entre 3'300 fr. arrondis et 3'000 fr. arrondis durant cette période antérieure à décembre 2022, sans tenir compte d'une participation à l'excédent et avant déduction des allocations familiales perçues. Il ne fournit pas de budget pour la période antérieure à juillet 2020, mais rien n'indique que les charges de l'enfant étaient nettement inférieures pour cette époque où il était encore un bambin pris en charge à la crèche et par des nourrices. Le raisonnement du premier juge selon lequel les charges de l'enfant étaient alors sensiblement plus basses que ce qu'elles sont actuellement est finalement battu en brèche par ce constat et par les allégués de l'intimé lui-même. Le fait que l'intimé ait pu, comme il l'allègue, être davantage présent à certaines périodes n'implique pas, en l'absence de tout allégué en ce sens, qu'il aurait pris lui-même à charge des frais relatifs à l'enfant, ni lesquels. Il y a ainsi lieu de retenir que les charges de l'enfant étaient en moyenne de 2'900 fr. arrondis par mois avant décembre 2022, après correction des frais d'ergothérapie et déduction des allocations familiales. Au vu des disponibles respectifs des parties, il ne se justifie pas, ici encore, d'allouer un montant supplémentaire à ce titre. Par conséquent, le raisonnement du premier juge sera confirmé, mais précisé, en ce sens que l'intimé sera condamné à verser 2'900 fr. par mois à l'appelante pour la période de mi-novembre 2019 à novembre 2022. Or, pour la période considérée, l'intimé a versé 58'000 fr. (29 mois x 2'000 fr.). Il reste donc devoir 47'850 fr. qu'il sera condamné à payer en mains de l'appelante ([36.5 mois x 2'900 fr.] - 58'000 fr.).</w:t>
      </w:r>
    </w:p>
    <w:p>
      <w:r>
        <w:rPr>
          <w:b/>
        </w:rPr>
        <w:t>E. 3.4</w:t>
      </w:r>
    </w:p>
    <w:p>
      <w:r>
        <w:t>Le jugement entrepris sera donc modifié dans le sens qui précède.</w:t>
      </w:r>
    </w:p>
    <w:p>
      <w:r>
        <w:rPr>
          <w:b/>
        </w:rPr>
        <w:t>E. 4</w:t>
      </w:r>
    </w:p>
    <w:p>
      <w:r>
        <w:t>4.1 Si l'instance d'appel statue à nouveau, elle se prononce sur les frais de la première instance (art. 318 al. 3 CPC). En l'espèce, ni la quotité ni la répartition des frais judiciaires et dépens de première instance n'ont été valablement remises en cause en appel et celles-ci ont été arrêtées conformément aux règles légales (art. 95, 96, 104 al. 1, 107 al. 1 let. c CPC; art. 31 RTFMC). Par conséquent, le jugement entrepris sera confirmé sur ce point.</w:t>
      </w:r>
    </w:p>
    <w:p>
      <w:r>
        <w:rPr>
          <w:b/>
        </w:rPr>
        <w:t>E. 4.2</w:t>
      </w:r>
    </w:p>
    <w:p>
      <w:r>
        <w:t>Les frais judiciaires de l'appel seront fixés à 2'000 fr. (art. 5, 31 et 37 RTFMC). Pour des motifs liés à la nature et à l'issue du litige, ils seront répartis à parts égales entre les parties (art. 95, 104 al. 1, 105, 106 al. 1 et 107 al. 1 let. c CPC). L'avance versée par l'appelante soit 2'000 fr. est acquise à l'Etat de Genève (art. 111 al. 1 CPC). L'intimé sera condamné à verser 1'000 fr. à l'appelante à titre de remboursement des frais. Pour des motifs d'équité liés à la nature et à l'issue du litige, chaque partie supportera ses propres dépens d'appel (art. 107 al. 1 let. c. CPC). * * * * * PAR CES MOTIFS, La Chambre civile : A la forme : Déclare recevable l'appel interjeté par A______ contre les chiffres 9 à 13 du dispositif du jugement JTPI/12771/2022 rendu le 28 octobre 2022 par le Tribunal de première instance dans la cause C/23276/2020. Au fond : Annule les chiffres 9 et 10 du dispositif du jugement entrepris, cela fait, statuant à nouveau : Condamne B______ à verser en mains de A______, par mois et d'avance, 3'000 fr., allocations familiales non comprises, pour l'entretien de l'enfant C______, ce dès le 1 er décembre 2022. Condamne B______ à verser en mains de A______ 47'850 fr. à titre de solde d'entretien de l'enfant C______ pour la période de mi-novembre 2019 à fin novembre 2022. Confirme le jugement entrepris pour le surplus. Déboute les parties de toutes autres conclusions. Sur les frais : Arrête les frais judiciaires d'appel à 2'000 fr., mis à la charge des parties à raison d'une moitié chacune et compensés avec les avances versées qui demeurent acquises à l'Etat de Genève. Condamne B______ à verser 1'000 fr. à A______ à titre de remboursement de l'avance de frais judiciaires d'appel. Dit qu'il n'est pas alloué de dépens. Siégeant : Madame Ursula ZEHETBAUER GHAVAMI, présidente;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