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C/23114/2018 vom 22. Oktober 2020</w:t>
      </w:r>
    </w:p>
    <w:p>
      <w:r>
        <w:t>GE Cour de justice, 2020-10-22, FR</w:t>
      </w:r>
    </w:p>
    <w:p>
      <w:r>
        <w:rPr>
          <w:b/>
        </w:rPr>
        <w:t xml:space="preserve">Quelle: </w:t>
      </w:r>
      <w:r>
        <w:t>https://mcp.opencaselaw.ch/entscheid/ge_gerichte_C_23114_2018</w:t>
      </w:r>
    </w:p>
    <w:p>
      <w:r>
        <w:t>FR: GE_GERICHTE C/23114/2018 du 22 octobre 2020</w:t>
      </w:r>
    </w:p>
    <w:p>
      <w:r>
        <w:t>IT: GE_GERICHTE C/23114/2018 del 22 ottobre 2020</w:t>
      </w:r>
    </w:p>
    <w:p>
      <w:pPr>
        <w:pStyle w:val="Heading2"/>
      </w:pPr>
      <w:r>
        <w:t>Regeste</w:t>
      </w:r>
    </w:p>
    <w:p>
      <w:r>
        <w:t>CO.337</w:t>
      </w:r>
    </w:p>
    <w:p>
      <w:pPr>
        <w:pStyle w:val="Heading2"/>
      </w:pPr>
      <w:r>
        <w:t>Erwägungen</w:t>
      </w:r>
    </w:p>
    <w:p>
      <w:r>
        <w:rPr>
          <w:b/>
        </w:rPr>
        <w:t>E. 1</w:t>
      </w:r>
    </w:p>
    <w:p>
      <w:r>
        <w:t>1.1 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est recevable (art. 130, 131 et 321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w:t>
      </w:r>
    </w:p>
    <w:p>
      <w:r>
        <w:rPr>
          <w:b/>
        </w:rPr>
        <w:t>E. 2</w:t>
      </w:r>
    </w:p>
    <w:p>
      <w:r>
        <w:t>Le Tribunal a considéré que l'intimée avait manqué à ses obligations car elle était tenue de suivre les instructions de son employeur, étant précisé qu'il ne lui incombait pas de critiquer l'organisation de celui-ci. Ses refus répétés d'exécuter des tâches et l'exécution insatisfaisante de son travail constituaient cependant des manquements de gravité moyenne, de sorte qu'un ou plusieurs avertissements étaient nécessaires avant une résiliation immédiate des rapports de travail. Seul l'existence d'un avertissement oral avait été établie. A cette occasion, il n'avait pas été indiqué à l'intimée qu'elle serait licenciée avec effet immédiat si elle ne changeait pas de comportement. Aucun délai ne lui avait été imparti pour se mettre en conformité. Cet avertissement n'était ainsi pas suffisamment clair et l'intimée ne pouvait pas comprendre quel risque elle encourrait si elle persistait dans son attitude. Le licenciement immédiat notifié par la recourante était par conséquent injustifié. La recourante fait valoir que le comportement de l'intimée, qui manquait de respect à sa hiérarchie et contestait toute autorité, avait rendu la situation intenable. Plusieurs réunions avaient eu lieu en un mois et demi de travail effectif pour la faire changer d'attitude, mais en vain. L'intimée avait parfaitement compris les précédents avertissements, lesquels étaient restés sans effet. Un nouvel avertissement n'aurait dès lors rien changé.</w:t>
      </w:r>
    </w:p>
    <w:p>
      <w:r>
        <w:rPr>
          <w:b/>
        </w:rPr>
        <w:t>E. 2.1</w:t>
      </w:r>
    </w:p>
    <w:p>
      <w:r>
        <w:t>L'employeur et le travailleur peuvent résilier immédiatement le contrat en tout temps pour de justes motifs; la partie qui résilie immédiatement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(ATF 127 III 153 consid. 1c).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Cela étant, savoir s'il y a gravité suffisante dans un cas donné restera toujours une question d'appréciation (arrêt du Tribunal fédéral 4A_246/2020 du 23 juin 2020  consid. 4.3.4). Selon l'art. 321d CO,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Wyler/Heinzer, Droit du travail, 4 ème éd., 2019, p. 155). La désobéissance à un ordre - pour autant que celui-ci reste dans les limites du contrat - peut constituer un juste motif de résiliation immédiate lorsque l'injonction ou la prescription concerne des intérêts importants de l'employeur (arrêts du Tribunal fédéral 4A_152/2011 du 6 juin 2011 consid. 2.3.1, JdT 2012 II 212 et 4A_236/2012 du 2 août 2012 consid. 2.2). D'une manière générale, la violation persistante et délibérée d'instructions données par l'employeur peut entraîner une résiliation immédiate du contrat si cette mesure a été précédée d'un avertissement comportant la menace claire d'un renvoi immédiat (arrêt du Tribunal fédéral 4C.119/2006 du 29 août 2006 consid. 3). Le Tribunal fédéral a considéré comme justifié un licenciement avec effet immédiat intervenu suite à une dispute entre une employée et sa supérieure, à l'occasion de laquelle l'employée avait tenté de frapper celle-ci avec une chaussure et lui avait, peu après, jeté un verre d'eau à la figure. Ce licenciement était intervenu quelques mois après un avertissement écrit, comportant la menace d'un licenciement immédiat en cas de récidive (arrêt du Tribunal fédéral 4C_247/2006 ). Plus le délai de résiliation ordinaire est long, moins il peut être requis de l'autre partie d'attendre l'échéance de rapports contractuels avec un employé qui persiste dans ses manquements Wyler/ Heinzer, op. cit., 2019, p. 717). Il incombe à la partie qui a résilié le contrat de travail avec effet immédiat d'établir l'existence des conditions de celle-ci (justes motifs, avertissement, etc.) (arrêt du Tribunal fédéral 4A_37/2010 du 13 avril 2010 consid. 4.1).</w:t>
      </w:r>
    </w:p>
    <w:p>
      <w:r>
        <w:rPr>
          <w:b/>
        </w:rPr>
        <w:t>E. 2.2</w:t>
      </w:r>
    </w:p>
    <w:p>
      <w:r>
        <w:t>En l'espèce, il n'est pas contesté que l'intimée a manqué à ses obligations en refusant à plusieurs reprises de suivre les directives qu'elle recevait de sa hiérarchie et d'exécuter une partie des tâches qui lui étaient confiées. Le fait qu'elle ait fait venir son mari au restaurant, semble-t-il pour "régler ses comptes" était également inapproprié. Cela étant, c'est à juste titre que le Tribunal a retenu que, compte tenu de l'ensemble des circonstances, ces violations n'atteignaient pas un degré de gravité suffisant pour justifier un licenciement immédiat sans avertissement supplémentaire. L'intimée conteste avoir reçu un avertissement avant le 2 juillet 2018, jour de son licenciement immédiat. A teneur du dossier, seule l'existence d'un avertissement oral, signifié le 5 juin 2018 est établie. Selon les témoignages recueillis, la recourante a à cette occasion fait savoir à l'intimée qu'il lui incombait de respecter sa hiérarchie et de suivre les instructions qui lui étaient données. La recourante a précisé à l'intimée que si elle n'améliorait pas son comportement, elle ne pourrait pas la garder. Elle ne lui a cependant pas indiqué qu'il s'agirait d'un licenciement avec effet immédiat. L'altercation qui s'est produite au retour de congé maladie de l'intimée revêt une certaine gravité, dans la mesure où l'intimée s'est d'emblée montrée irrespectueuse envers sa chef et a manifesté un nouveau refus d'exécuter une instruction de sa hiérarchie. Cela étant, il convient de replacer cet incident dans le contexte du retour au travail de l'intimée, dans un climat tendu. Prise à parti dès son arrivée, l'intimée semble avoir agi sous le coup de l'énervement, ce qui relativise la gravité de son comportement. L'incident du 2 juillet 2018 n'atteint en particulier pas le degré de gravité de celui qui s'est produit dans l'affaire jugée par le Tribunal fédéral dans l'arrêt 4C_247/2006 du 27 octobre 2006, lors de laquelle l'employée avait tenté de frapper sa supérieure et lui avait lancé un verre d'eau à la figure. Il convient également de tenir compte du fait que, contrairement à l'état de fait qui a donné lieu à l'arrêt précité, ainsi qu'à l'arrêt du Tribunal fédéral 4C_119/2006 du 29 août 2006, le licenciement de l'intimée est intervenu à un moment où celle-ci n'avait pas expressément été avertie du fait qu'elle risquait un licenciement immédiat en cas de nouvelle violation de ses obligations. Au regard de l'absence de menace claire de licenciement immédiat en cas de récidive, l'on ne saurait ainsi considérer comme établi, contrairement à ce que soutient la recourante, que l'intimée avait parfaitement compris qu'elle serait licenciée avec effet immédiat en cas de nouvel incident. La recourante ne pouvait ainsi pas, contrairement à ce qu'elle soutient, partir du principe qu'un nouvel avertissement n'aurait rien changé à la situation. Le licenciement de l'intimée, intervenu le jour même de son retour au travail après son congé maladie, a dès lors privé celle-ci d'une nouvelle occasion d'améliorer son comportement. A cela s'ajoute que, compte tenu de la position subalterne de l'intimée, et du fait que le délai de congé, d'un mois, n'était pas particulièrement long, il n'est pas non plus établi qu'il ne pouvait pas être exigé de la part de la recourante de continuer les rapports de travail jusqu'à l'expiration du délai de congé. Au regard des exigences strictes posées par la jurisprudence pour admettre la validité d'un congé avec effet immédiat, le Tribunal a dès lors retenu à juste titre qu'un nouvel avertissement indiquant clairement à l'intimée qu'elle serait licenciée avec effet immédiat en cas de nouveau manquement à ses obligations aurait été nécessaire in casu. Le jugement querellé doit par conséquent être confirmé.</w:t>
      </w:r>
    </w:p>
    <w:p>
      <w:r>
        <w:rPr>
          <w:b/>
        </w:rPr>
        <w:t>E. 3</w:t>
      </w:r>
    </w:p>
    <w:p>
      <w:r>
        <w:t>Le recours est exempt de frais judiciaires compte tenu de la valeur litigieuse (art. 114 let. c CPC), et ne donne pas lieu à l'allocation de dépens (art. 22 al. 2 LaCC). * * * * * PAR CES MOTIFS, La Chambre des prud'hommes, groupe 2 : A la forme : Déclare recevable le recours formé le 16 mars 2020 par A______ SA contre le jugement JTPH/52/2020 rendu le 13 février 2020 par le Tribunal des prud'hommes. Au fond : Rejette ce recours. Déboute les parties de toutes autre conclusions. Dit qu'il n'est pas alloué de dépens. Siégeant : Madame Fabienne GEISINGER-MARIETHOZ, présidente; Monsieur Vincent  CANONICA, juge employeur; Monsieur Kasum VELII,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