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C/22997/2020 vom 29. April 2021</w:t>
      </w:r>
    </w:p>
    <w:p>
      <w:r>
        <w:t>GE Cour de justice, 2021-04-29, FR</w:t>
      </w:r>
    </w:p>
    <w:p>
      <w:r>
        <w:rPr>
          <w:b/>
        </w:rPr>
        <w:t xml:space="preserve">Quelle: </w:t>
      </w:r>
      <w:r>
        <w:t>https://mcp.opencaselaw.ch/entscheid/ge_gerichte_C_22997_2020</w:t>
      </w:r>
    </w:p>
    <w:p>
      <w:r>
        <w:t>FR: GE_GERICHTE C/22997/2020 du 29 avril 2021</w:t>
      </w:r>
    </w:p>
    <w:p>
      <w:r>
        <w:t>IT: GE_GERICHTE C/22997/2020 del 29 aprile 2021</w:t>
      </w:r>
    </w:p>
    <w:p>
      <w:pPr>
        <w:pStyle w:val="Heading2"/>
      </w:pPr>
      <w:r>
        <w:t>Regeste</w:t>
      </w:r>
    </w:p>
    <w:p>
      <w:r>
        <w:t>LP.82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Le recours ne peut être complété après l'échéance du délai de recours, de sorte qu'il ne sera pas fait droit à la conclusion - non motivée au demeurant - des recourants à cet égard.</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Les recourants contestent que leur seconde requête de mainlevée soit irrecevable en raison de l'autorité de chose jugée résultant du premier jugement rendu rejetant la première requête de mainlevée.</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au moment de l'introduction de la poursuite, c’est-à-dire lors de la notification du commandement de payer (ATF 139 III 297 consid. 2.3.1 et la jurisprudence mentionnée). La décision qui accorde ou refuse la mainlevée, qu'il s'agisse d'une mainlevée définitive (art. 81 LP) ou d'une mainlevée provisoire (art. 82 LP),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ou ne rend pas vraisemblables des exceptions immédiatement (ATF 132 III 140 consid. 4.1.1). Selon la jurisprudence du Tribunal fédéral, étant qu'un incident de la poursuite, qui se distingue d'un procès ordinaire notamment par le fait que le juge ne statue que sur la base des pièces produites et, pour la mainlevée provisoire, selon le critère de la vraisemblance, la décision de mainlevée ne revêt aucune autorité de chose jugée, sauf pour la poursuite en cours et à l'égard des pièces produites, et n'a pas autorité de chose jugée dans le cas où le créancier introduit une nouvelle poursuite (arrêts du Tribunal fédéral 5A_427/2011 du 10 octobre 2011, consid. 2; 5A_905/2010 du 10 août 2011 consid. 2.2 et 4A_119/2009 du 9 juin 2009 consid. 2.1, publié in SJ 2010 I 58; ATF 100 III 48 consid. 3 et les références citées). Le Tribunal fédéral indique en outre que de jurisprudence constante, le prononcé qui rejette une requête de mainlevée n'a pas l'autorité de la chose jugée quant à l'existence de la prétention litigieuse (ATF 136 III 583 consid. 2.3) et, partant, n'empêche pas le poursuivant de requérir derechef la mainlevée, y compris dans la même poursuite (ATF 140 III 456 , consid. 2.5; arrêts du Tribunal fédéral 5A_533/2017 du 23 octobre 2017, consid. 4.1; 5A_696/2012 du 23 janvier 2013 consid. 4.1.2, avec les citations), en produisant les documents idoines (dispositions légales, pratique des tribunaux, avis de droit, etc.).</w:t>
      </w:r>
    </w:p>
    <w:p>
      <w:r>
        <w:rPr>
          <w:b/>
        </w:rPr>
        <w:t>E. 2.2</w:t>
      </w:r>
    </w:p>
    <w:p>
      <w:r>
        <w:t>En l'espèce, il ressort des principes rappelés supra qu'un jugement de mainlevée a autorité de chose jugée dans la poursuite en cours et à l'égard des pièces produites. Or, la seconde requête de mainlevée formée par les recourants repose sur des faits nouveaux et des pièces nouvelles, qui n'avaient pas été allégués et produites avec la première requête de mainlevée. Les requérants ont en effet décrit les caractéristiques de l'appartement pour lequel des loyers étaient réclamés, produisant diverses pièces à cet égard, et soutenu qu'au vu de celles-ci, l'utilisation de la formule officielle n'était pas nécessaire lors de la conclusion du bail. Cette seconde requête, bien qu'elle soit formée dans la même poursuite, était dès lors recevable, contrairement à ce qu'a considéré le Tribunal. Le recours est dès lors fondé et le jugement attaqué sera annulé.</w:t>
      </w:r>
    </w:p>
    <w:p>
      <w:r>
        <w:rPr>
          <w:b/>
        </w:rPr>
        <w:t>E. 2.3</w:t>
      </w:r>
    </w:p>
    <w:p>
      <w:r>
        <w:t>La décision attaquée ne contient aucun élément de fait relatifs au fond de la cause. La cause sera ainsi renvoyée au Tribunal pour qu'il entre en matière sur le fond de la requête (art. 327 al. 3 let. a CPC).</w:t>
      </w:r>
    </w:p>
    <w:p>
      <w:r>
        <w:rPr>
          <w:b/>
        </w:rPr>
        <w:t>E. 3</w:t>
      </w:r>
    </w:p>
    <w:p>
      <w:r>
        <w:t>L'intimé, qui succombe, sera condamné aux frais du recours (art. 106 al. 1 CPC), arrêtés à 500 fr. au vu de l'issue du litige (art. 48 et 61 OELP) et compensés avec l'avance de frais, qui reste acquise à l'Etat de Genève à due concurrence (art. 111 al. 1 CPC). Le solde de celle-ci sera restitué aux recourants. Le sort des frais de première instance est réservé. L'intimé sera également condamné à verser aux recourants la somme de 1'500 fr. à titre de dépens de recours. * * * * * PAR CES MOTIFS, La Chambre civile : A la forme : Déclare recevable le recours interjeté par A______ et B______ contre le jugement JTPI/5533/2021 rendu le 29 avril 2021 par le Tribunal de première instance dans la cause C/22997/2020-16 SML. Au fond : Annule ce jugement et, statuant à nouveau : Renvoie la cause au Tribunal de première instance pour nouvelle décision dans le sens des considérants. Déboute les parties de toutes autres conclusions. Sur les frais : Arrête les frais judiciaires de recours à 500 fr., les met à la charge de C______ et dit qu'ils sont compensés avec l'avance fournie, qui reste acquise à l'Etat de Genève à due concurrence. Condamne C______ à verser 500 fr. à A______ et B______, solidairement entre eux, à titre de frais judiciaires de recours. Invite les Services financiers du Pouvoir judiciaire à restituer 250 fr. à A______ et B______, solidairement entre eux. Condamne C______ à verser 1'500 fr. à A______ et B______, solidairement entre eux, à titre de dépens de recours. Siégeant : Monsieur Laurent RIEBEN, président; Madame Fabienne GEISINGER-MARIETHOZ et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