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C/22896/2018 vom 29. August 2022</w:t>
      </w:r>
    </w:p>
    <w:p>
      <w:r>
        <w:t>GE Cour de justice, 2022-08-29, FR</w:t>
      </w:r>
    </w:p>
    <w:p>
      <w:r>
        <w:rPr>
          <w:b/>
        </w:rPr>
        <w:t xml:space="preserve">Quelle: </w:t>
      </w:r>
      <w:r>
        <w:t>https://mcp.opencaselaw.ch/entscheid/ge_gerichte_C_22896_2018</w:t>
      </w:r>
    </w:p>
    <w:p>
      <w:r>
        <w:t>FR: GE_GERICHTE C/22896/2018 du 29 août 2022</w:t>
      </w:r>
    </w:p>
    <w:p>
      <w:r>
        <w:t>IT: GE_GERICHTE C/22896/2018 del 29 agosto 2022</w:t>
      </w:r>
    </w:p>
    <w:p>
      <w:pPr>
        <w:pStyle w:val="Heading2"/>
      </w:pPr>
      <w:r>
        <w:t>Regeste</w:t>
      </w:r>
    </w:p>
    <w:p>
      <w:r>
        <w:t>CO.262; CO.257f.al3; CO.271; CO.272</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en ne considérant que le loyer de l'appartement, charges non comprises, la valeur litigieuse s'élève à 39'168 fr. (13'056 fr. x 3 ans). Elle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L'appelante a renoncé à sa conclusion en constatation de son droit de sous-louer les locaux abritant E______ dans son mémoire d'appel avant d'y conclure à nouveau au stade de sa réplique.</w:t>
      </w:r>
    </w:p>
    <w:p>
      <w:r>
        <w:rPr>
          <w:b/>
        </w:rPr>
        <w:t>E. 2.1.1</w:t>
      </w:r>
    </w:p>
    <w:p>
      <w:r>
        <w:t>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Selon l'art. 317 al. 2 CPC, la demande ne peut être modifiée que si les conditions fixées à l'art. 227 al. 1 CPC sont remplies (let. a) et si la modification repose sur des faits ou des moyens de preuve nouveaux. Les deux conditions sont cumulatives (Jeandin, Code de procédure civile commenté, Bâle, 2011, n. 10 ad art. 317 CPC).</w:t>
      </w:r>
    </w:p>
    <w:p>
      <w:r>
        <w:rPr>
          <w:b/>
        </w:rPr>
        <w:t>E. 2.1.2</w:t>
      </w:r>
    </w:p>
    <w:p>
      <w:r>
        <w:t>En l'espèce, l'appelante n'a pas pris de conclusion en constatation de son droit de sous-louer les locaux hébergeant E______ dans son mémoire d'appel, de sorte qu'elle ne pouvait pas y conclure au stade de sa réplique sans faits ou moyens de preuve nouveaux, qu'elle n'a pas allégués ou produits. Cette conclusion est donc irrecevable.</w:t>
      </w:r>
    </w:p>
    <w:p>
      <w:r>
        <w:rPr>
          <w:b/>
        </w:rPr>
        <w:t>E. 2.2</w:t>
      </w:r>
    </w:p>
    <w:p>
      <w:r>
        <w:t>L'appelante a produit à l'appui de son appel, comme pièces nouvelles, l'accord d'annulation du contrat d'achat du fonds de commerce de l'enseigne E______, non daté, et son courriel du 27 août 2021 à l'intimée avisant cette dernière de cet accord. A l'appui de sa réponse du 21 janvier 2022, l'intimée a produit, comme pièces nouvelles, les décisions d'exclusion de l'appelante de la société coopérative des 12 avril et 1 er novembre 2019, le certificat du Tribunal de première instance émis le 30 juillet 2021 relatif à l'autorisation de procéder n° APTPI/300/2020 et ses statuts. Elle a également informé la Cour le 4 avril 2022 de ce qu'elle avait récemment constaté que l'appelante avait mis en gérance l'établissement E______ en faveur d'un tiers inconnu, avec copie du courrier du même jour à la locataire et photographies à l'appui.</w:t>
      </w:r>
    </w:p>
    <w:p>
      <w:r>
        <w:rPr>
          <w:b/>
        </w:rPr>
        <w:t>E. 2.2.1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 Lorsque la procédure est soumise à la maxime inquisitoire, les faits et moyens de preuve nouveaux peuvent être invoqués jusqu'à l'entrée en délibération de l'instance d'appel (VOLKART, DIKE-Komm ZPO, 2011, n. 17 ad art. 317 CPC; BRUNNER, KuKo ZPO, 2010, n. 8 ad art. 317 CPC; SPÜHLER, Basler Kommentar, 2 ème éd. 2013, n. 7 ad art. 317 CPC; RETORNAZ, op. cit., p. 349 ss, n. 166).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A propos de la diligence requise, il ne suffit pas qu'une pièce ait été créée ou obtenue après la survenance du jugement querellé pour en faire un vrai nova dans la mesure où le critère relevant consiste à déterminer si ledit moyen de preuve aurait pu être obtenu avant la clôture des débats principaux de première instance, à l'instar d'attestations (p. ex. médicales) utiles dans le cadre d'un litige ayant pour objet la garde d'un enfant (arrêts du Tribunal fédéral 5A_86/2016 du 5 septembre 2016 consid. 2, 5A_266/2015 du 24 juin 2015 consid. 3.2.3). Lorsque l'invocation des faits ou la production de moyens de preuve nouveaux dépendent de la seule volonté d'une partie, ils ne peuvent être considérés comme des vrais nova (arrêts du Tribunal fédéral 4A_583/2019 du 19 août 2020 consid. 5.3, 4A_76/2019 du 15 juillet 2020 consid. 8.1.2).</w:t>
      </w:r>
    </w:p>
    <w:p>
      <w:r>
        <w:rPr>
          <w:b/>
        </w:rPr>
        <w:t>E. 2.2.2</w:t>
      </w:r>
    </w:p>
    <w:p>
      <w:r>
        <w:t>En l'espèce, le courriel du 27 août 2021 de l'appelante à l'intimée l'avisant de l'accord d'annulation du contrat d'achat du fonds de commerce de l'enseigne E______ est recevable du fait qu'il a été envoyé après la mise en délibération de la cause par le Tribunal. Il en est de même, pour une raison identique, du certificat du Tribunal de première instance du 30 juillet 2021 relatif à l'autorisation de procéder APTPI/300/2020 produit par l'intimée. Les faits que ces deux pièces contiennent seront repris dans la procédure s'ils sont utiles pour la résolution du litige. En revanche, l'accord d'annulation non daté du contrat d'achat du fonds de commerce de l'enseigne E______ est irrecevable, du fait qu'il aurait pu être produit devant les premiers juges. En effet, le représentant de F______ SARL, N______, avait fait référence à l'annulation de ce contrat à l'audience du 4 septembre 2020 devant le Tribunal dans une autre procédure, soit avant le dépôt par les parties de leurs plaidoiries finales le 22 avril 2021. L'appelante n'explique pas pourquoi elle n'aurait pas pu le produire devant les premiers juges. Sont également irrecevables pour des raisons identiques les décisions d'exclusion de l'appelante par l'intimée des 12 avril et 1 er novembre 2019 et les statuts de l'intimée. Quant au courrier de l'intimée du 4 avril 2022 et des pièces qu'il contient, il est également irrecevable, car communiqué après l'entrée en délibération de la Cour.</w:t>
      </w:r>
    </w:p>
    <w:p>
      <w:r>
        <w:rPr>
          <w:b/>
        </w:rPr>
        <w:t>E. 3</w:t>
      </w:r>
    </w:p>
    <w:p>
      <w:r>
        <w:t>L'appelante sollicite de la Cour l'audition de D______ et de C______, anciens gérants du E______ respectivement du H______, afin qu'ils confirment qu'ils ont toujours bénéficié du droit d'user d'une partie de l'appartement. Elle requiert également que la Cour ordonne la comparution personnelle des parties.</w:t>
      </w:r>
    </w:p>
    <w:p>
      <w:r>
        <w:rPr>
          <w:b/>
        </w:rPr>
        <w:t>E. 3.1</w:t>
      </w:r>
    </w:p>
    <w:p>
      <w:r>
        <w:t>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3.2</w:t>
      </w:r>
    </w:p>
    <w:p>
      <w:r>
        <w:t>En l'espèce, l'appelante a requis l'audition de D______ dans sa liste de témoins devant les premiers juges, laquelle a été refusée par ordonnance du Tribunal du 9 juin 2020, en tant qu'elle était, selon le Tribunal, inutile. L'appelante n'a pas persisté à conclure devant les premiers juges dans ses plaidoiries finales du 22 avril 2021 à l'audition de ce témoin, de sorte que la Cour retient qu'elle avait renoncé à l'entendre. Quant au témoin, C______, l'appelante n'a pas demandé son audition devant le Tribunal. S'agissant de la question de la comparution personnelle des parties, l'appelante n'y a pas conclu en première instance et n'indique pas pour quels motifs la Cour devrait donner suite à sa conclusion en appel en ce sens. L'appelante ne saurait donc requérir la comparution personnelle des parties et l'audition de ces deux témoins devant la Cour, l'offre de preuve étant nouvelle et par conséquent tardive. Elle n'allègue en effet pas de faits nouveaux, de sorte que ses conclusions à cet effet sont irrecevables en appel. En tout état de cause, ces offres de preuve ne sont pas nécessaires pour permettre à la Cour de statuer, de sorte que les conclusions de l'appelante sur ces points seront rejetées.</w:t>
      </w:r>
    </w:p>
    <w:p>
      <w:r>
        <w:rPr>
          <w:b/>
        </w:rPr>
        <w:t>E. 4</w:t>
      </w:r>
    </w:p>
    <w:p>
      <w:r>
        <w:t>L'appelante fait grief au Tribunal d'avoir violé les art. 262 et 257f CO en retenant qu'elle n'avait pas l'intention de reprendre l'exploitation des locaux. En outre, elle aurait communiqué à l'intimée les conditions de la sous-location si ce n'est en ce qui concerne sa durée. Elle soutient également qu'il y avait eu un problème de communication du fait qu'elle avait conclu un contrat de cession de fonds de commerce, ce qu'elle était autorisée à faire, alors que l'intimée lui réclamait les conditions de la sous-location ou du transfert de bail, faisant alors preuve de mauvaise foi. De plus, son contrat avec F______ SARL contenait des informations sensibles et la mise en demeure du 24 août 2018 de l'intimée ne lui impartissait pas un délai raisonnable pour communiquer les conditions de la sous-location.</w:t>
      </w:r>
    </w:p>
    <w:p>
      <w:r>
        <w:rPr>
          <w:b/>
        </w:rPr>
        <w:t>E. 4.1</w:t>
      </w:r>
    </w:p>
    <w:p>
      <w:r>
        <w:t>Selon l'art. 262 al. 1 CO, de droit semi-impératif, le locataire peut sous-louer tout ou partie de la chose avec le consentement du bailleur. Le bailleur ne peut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Cette disposition s'applique par analogie lorsque le locataire d'une surface commerciale abritant un restaurant confie l'exploitation de l'établissement à un tiers par un contrat de gérance libre, c'est-à-dire par un bail à ferme non agricole (arrêts du Tribunal fédéral 4A_162/2014 du 26 août 2014 consid. 2.2.1 et 4A_127/2008 du 2 juin 2008 consid. 2.1 et 2.2, in SJ 2008 I 467).</w:t>
      </w:r>
    </w:p>
    <w:p>
      <w:r>
        <w:rPr>
          <w:b/>
        </w:rPr>
        <w:t>E. 4.2</w:t>
      </w:r>
    </w:p>
    <w:p>
      <w:r>
        <w:t>Aux termes de l'art. 257f al. 3 CO,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Cette disposition est applicable lorsque le locataire sous-loue la chose louée remise à bail sans requérir le consentement du bailleur en violation de l'art. 262 CO (ATF 134 III 300 consid. 3.1; arrêt du Tribunal fédéral 4A_347/2016 du 10 novembre 2016 consid. 3.1.1). Le bailleur qui notifie un congé fondé sur l'art. 257f al. 3 CO doit prouver les faits qui en sont la condition (arrêt du Tribunal fédéral 4A_367/2010 du 4 octobre 2010 consid. 2.2). Si les conditions de l'art. 257f al. 3 CO ne sont pas remplies, la résiliation anticipée est inefficace (ATF 135 III 441 ; arrêt du Tribunal fédéral 4A_347/2016 précité consid. 3.1.2).</w:t>
      </w:r>
    </w:p>
    <w:p>
      <w:r>
        <w:rPr>
          <w:b/>
        </w:rPr>
        <w:t>E. 4.3</w:t>
      </w:r>
    </w:p>
    <w:p>
      <w:r>
        <w:t>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arrêts du Tribunal fédéral 4A_227/2017 du 5 septembre 2017 consid. 4.2.1.1 et 4A_290/2015 du 9 septembre 2015 consid. 4.3.1).</w:t>
      </w:r>
    </w:p>
    <w:p>
      <w:r>
        <w:rPr>
          <w:b/>
        </w:rPr>
        <w:t>E. 4.4</w:t>
      </w:r>
    </w:p>
    <w:p>
      <w:r>
        <w:t>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LACHAT, Le bail à loyer, Lausanne 2019, p. 894, n. 3.2.2). Le fardeau de la preuve d'une résiliation contraire à la bonne foi incombe au locataire (ATF 140 III 591 consid. 1 et 2; arrêt du Tribunal fédéral 4A_436/2018 du 17 janvier 2019 consid. 5.1).</w:t>
      </w:r>
    </w:p>
    <w:p>
      <w:r>
        <w:rPr>
          <w:b/>
        </w:rPr>
        <w:t>E. 4.5</w:t>
      </w:r>
    </w:p>
    <w:p>
      <w:r>
        <w:t>En l'espèce, l'appelante a informé l'intimée, cinq jours à l'avance, que l'arcade abritant E______ serait sous-louée aux mêmes conditions que le contrat de bail principal, à F______ SARL par une gérance-vente. Or, les conditions n'étaient pas les mêmes, notamment les mensualités visant à rémunérer la mise à disposition du fonds de commerce s'élevant à 5'000 fr. et celles-ci devant être acquises à l'appelante en cas de résiliation du contrat de cession notamment pour non-paiement. L'intimée n'était donc pas en possession de toutes les conditions de la sous-location pour se prononcer sur son admissibilité. En outre, l'appelante n'a pas démontré avoir l'intention d'exploiter à nouveau l'arcade dans le futur, vu les modalités du contrat de cession du fonds de commerce du 23 juillet 2018 et son avenant du 24 août 2018. Au contraire, sa volonté de vendre, à terme, le fonds de commerce démontre qu'elle n'envisageait plus d'occuper les locaux. L'appelante n'a par ailleurs pas indiqué quelles étaient les informations sensibles qu'elle ne pouvait pas communiquer à l'intimée, étant précisé que si tel était le cas, il lui suffisait de caviarder les informations sensibles inutiles à l'intimée pour prendre sa décision. Dans ces circonstances, la Cour retiendra, à l'instar des premiers juges, que les courriers des 2 et 24 août 2018 constituent des protestations écrites suffisantes au sens de l'art. 257f al. 3 CO, l'intimée ayant indiqué à l'appelante rester dans l'attente des documents pour se déterminer en connaissance de cause sur la sous-location et que, dans l'intervalle, cette dernière demeurait illicite. Le second courrier précisait encore une possible résiliation du bail pour justes motifs si l'appelante ne se conformait pas à ses obligations. L'appelante ne s'étant pas exécutée et ayant passé outre le consentement de l'intimée, c'est à raison que les premiers juges ont déclaré efficace le congé anticipé notifié le 10 septembre 2018, soit plus d'un mois après la première protestation du 2 août 2018. Le jugement entrepris sera donc confirmé sur ce point.</w:t>
      </w:r>
    </w:p>
    <w:p>
      <w:r>
        <w:rPr>
          <w:b/>
        </w:rPr>
        <w:t>E. 5</w:t>
      </w:r>
    </w:p>
    <w:p>
      <w:r>
        <w:t>L'appelante fait grief aux premiers juges d'avoir violé les art. 257f al. 2, 271 et 271a CO, du fait qu'ils n'ont pas retenu que la résiliation du contrat de bail à loyer de l'appartement était un prétexte, voir un congé-représailles consécutif à ses prétentions relatives à l'exploitation du E______ et du H______ par F______ SARL. En outre, l'absence de G______ dans l'appartement litigieux n'avait pas été démontrée et les témoins n'avaient pas permis d'établir les nuisances reprochées.</w:t>
      </w:r>
    </w:p>
    <w:p>
      <w:r>
        <w:rPr>
          <w:b/>
        </w:rPr>
        <w:t>E. 5.1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 consid. 3.2.1; 140 III 496 consid. 4.1; 138 III 59 consid. 2.1). En principe, le bailleur est donc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précité consid. 4.2; 4A_475/2015 du 19 mai 2016 consid. 4.1 et 4.3) ou encore pour utiliser les locaux lui-même ou pour ses proches parents ou alliés (arrêts du Tribunal fédéral 4A_198/2016 du 7 octobre 2016 consid. 4.3 et 4.5; 4A_18/2016 du 26 août 2016 consid. 3.3 et 4). Lorsque le bail porte sur une habitation ou un local commercial, la seule limite à la liberté contractuelle des parties réside dans les règles de la bonne foi :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w:t>
      </w:r>
    </w:p>
    <w:p>
      <w:r>
        <w:rPr>
          <w:b/>
        </w:rPr>
        <w:t>E. 5.2</w:t>
      </w:r>
    </w:p>
    <w:p>
      <w:r>
        <w:t>En l'espèce, le motif du congé donné par la bailleresse réside dans l'utilisation de l'appartement non conforme au contrat et générant des nuisances. Comme le soutient à juste titre l'appelante, l'intimée n'a pas prouvé que G______ n'occuperait pas du tout l'appartement, vu les explications de celui-ci et les déclarations des témoins, L______ et M______. En revanche, comme les premiers juges l'ont retenu, aucun élément au dossier ne confirme la présence intermittente de la famille de G______. D'ailleurs, ce dernier a admis ne pas occuper l'entier de l'appartement. La procédure a établi que des employées du H______ ont été hébergées durant environ trois mois avant la résiliation du bail dans une partie de l'appartement, selon la déclaration du représentant de F______ SARL dans une autre procédure. Contrairement à ce que soutient l'appelante, cette déclaration ne saurait être remise en cause, celle-ci n'alléguant pas d'éléments permettant de douter de son bien-fondé. Selon le témoin, M______, cette même partie de l'appartement a été occupée par un couple avec un bébé, puis par cinq ou six dames jusqu'au début de la crise du COVID, puis par deux autres dames par la suite. En outre, G______ a admis l'utilisation régulière d'une partie de son appartement par des employées du H______, de sorte que cette partie est utilisée à d'autres fins que celle d'habitation prévue par le contrat de bail. S'agissant des nuisances, la procédure a permis de les établir par les explications de J______, qui a rapporté en avoir subies, et les témoins, L______ et M______, qui en ont fait état de l'utilisation nocturne de la buanderie. Cette dernière a aussi déclaré de manière crédible avoir entendu des bruits de talons à des heures tardives. L'appelante a échoué à établir que le bail avait été résilié en représailles à l'exercice de son droit à la sous-location du restaurant E______, comme elle le prétend à tort, la procédure ayant permis de démontrer les motifs de la résiliation du bail de l'appartement. Au vu de ce qui précède, le congé de l'appartement n'ayant pas été donné de manière contraire à la bonne foi, il sera validé et le jugement confirmé sur ce point.</w:t>
      </w:r>
    </w:p>
    <w:p>
      <w:r>
        <w:rPr>
          <w:b/>
        </w:rPr>
        <w:t>E. 6</w:t>
      </w:r>
    </w:p>
    <w:p>
      <w:r>
        <w:t>L'appelante fait grief au Tribunal d'avoir violé les art. 272 et 272b al. 1 CO, ayant refusé toute prolongation en ce qui concerne l'arcade et en accordant deux ans et demi pour l'appartement en lieu et place d'une unique prolongation de six ans pour chacun des deux objets loués.</w:t>
      </w:r>
    </w:p>
    <w:p>
      <w:r>
        <w:rPr>
          <w:b/>
        </w:rPr>
        <w:t>E. 6.1</w:t>
      </w:r>
    </w:p>
    <w:p>
      <w:r>
        <w:t>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La durée maximale de la prolongation est de six lorsqu'il s'agit de locaux commerciaux et de quatre ans lorsqu'il s'agit de bail d'habitations.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4C.425/2004 du 9 mars 2005 consid. 3.4). Le choix entre une ou deux prolongations doit permettre au juge de retenir la solution la plus adaptée aux circonstances (arrêts du Tribunal fédéral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précité consid. 4.3.1; 4A_105/2009 précité consid. 3.2). Aucune prolongation n'est accordée lorsqu'un congé est donné pour violation grave par le locataire de son devoir de diligence ou pour de graves manques d'égards envers les voisins (art. 257 f al. 3 et 4 CO).</w:t>
      </w:r>
    </w:p>
    <w:p>
      <w:r>
        <w:rPr>
          <w:b/>
        </w:rPr>
        <w:t>E. 6.2</w:t>
      </w:r>
    </w:p>
    <w:p>
      <w:r>
        <w:t>En l'espèce, le Tribunal a considéré à juste titre que la question d'une éventuelle prolongation de bail ne se posait pas s'agissant de l'arcade abritant E______, le bail ayant été résilié en application de l'art. 257 f al. 3 CO. Pour ce qui est de l'appartement, les premiers juges ont procédé à une pesée des intérêts en présence. Concernant l'appelante, ils ont tenu compte de la longue durée du bail, du fait que l'appelante n'avait pas fait état de conséquences pénibles pour elle générées par la résiliation du bail et qu'elle n'avait pas allégué avoir cherché un logement de remplacement depuis l'avis de résiliation du contrat de bail. Les autres allégations de l'appelante à l'appui de son appel au sujet de sa situation financière n'ont pas été établies, de sorte qu'elles ne sauraient entrer en considération. Il en est de même du fait que G______ n'a plus, selon l'appelante, « les moyens physiques de déménager de son appartement ». Quoi qu'il en soit, la prolongation du bail ne permettrait pas d'espérer qu'un déménagement ultérieur présenterait moins d'inconvénients sur ce dernier point. Concernant l'intimée, les premiers juges ont considéré qu'elle n'avait pas un besoin urgent de voir partir la locataire. Du fait que la durée de la procédure devant le Tribunal a permis à l'appelante de bénéficier, de fait, de plus de deux ans de prolongation, une unique prolongation de l'appartement de deux ans et demi jusqu'au 31 décembre 2021, telle qu'arrêtée par les premiers juges, concilie équitablement les intérêts en présence. La Cour confirmera donc le jugement dans son intégralité.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décembre 2021 par A______ SA contre le jugement JTBL/865/2021 rendu le 20 octobre 2021 par le Tribunal des baux et loyers dans la cause C/22896/2018.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