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C/22830/2011 vom 6. Mai 2014</w:t>
      </w:r>
    </w:p>
    <w:p>
      <w:r>
        <w:t>GE Cour de justice, 2014-05-06, FR</w:t>
      </w:r>
    </w:p>
    <w:p>
      <w:r>
        <w:rPr>
          <w:b/>
        </w:rPr>
        <w:t xml:space="preserve">Quelle: </w:t>
      </w:r>
      <w:r>
        <w:t>https://mcp.opencaselaw.ch/entscheid/ge_gerichte_C_22830_2011</w:t>
      </w:r>
    </w:p>
    <w:p>
      <w:r>
        <w:t>FR: GE_GERICHTE C/22830/2011 du 6 mai 2014</w:t>
      </w:r>
    </w:p>
    <w:p>
      <w:r>
        <w:t>IT: GE_GERICHTE C/22830/2011 del 6 maggio 2014</w:t>
      </w:r>
    </w:p>
    <w:p>
      <w:pPr>
        <w:pStyle w:val="Heading2"/>
      </w:pPr>
      <w:r>
        <w:t>Regeste</w:t>
      </w:r>
    </w:p>
    <w:p>
      <w:r>
        <w:t>LÉGITIMATION ACTIVE ET PASSIVE; PRINCIPE DE LA CONFIANCE(INTERPRÉTATION DU CONTRAT) | CO.18</w:t>
      </w:r>
    </w:p>
    <w:p>
      <w:pPr>
        <w:pStyle w:val="Heading2"/>
      </w:pPr>
      <w:r>
        <w:t>Erwägungen</w:t>
      </w:r>
    </w:p>
    <w:p>
      <w:r>
        <w:rPr>
          <w:b/>
        </w:rPr>
        <w:t>E. 9</w:t>
      </w:r>
    </w:p>
    <w:p>
      <w:r>
        <w:t>janvier 2012 (ch. 1 du dispositif) et a dit que A______ disposait de la légitimation passive (ch. 2), réservant la suite de la procédure (ch. 3), le sort des frais judiciaires étant réservé à la décision finale (ch. 4). C. a) Par acte expédié le 5 novembre 2013 au greffe de la Chambre des prud'hommes de la Cour de justice, A______ a appelé du jugement précité, concluant à son annulation et cela fait, à ce qu'il soit dit que A______ ne dispose pas de la légitimation passive, B______ devant être débouté de toutes ses conclusions, avec suite de frais judiciaires et dépens. b) Dans sa réponse du 7 janvier 2014, B______, qui produit des pièces nouvelles nos 40 à 50, a conclu au déboutement de A______ et à la confirmation du jugement querellé. B______ indique avoir récemment retrouvé les pièces nouvelles nos 44, non datée, et 40 à 43 et 45, établies en 2010. Les autres pièces nouvelles sont des attestations, respectivement du 9 avril 2013 de R______ (pce 46 concernant ses rapports avec B______ jusqu'en juin 2011), du 13 mai 2013 établie par S______ (pce 47 concernant la période 2010/2011), du 27 novembre 2013 de la société T______ (pce 48 concernant ses rapports avec B______ jusqu'en juin 2011), du 11 décembre 2013 de U______ (pce 49 concernant ses rapports avec B______ jusqu'en juin 2011) et du 21 mars 2013 de V______ (pce 50 concernant le présent). c) A______ a répliqué le 29 janvier 2014, concluant à l'irrecevabilité des pièces nouvelles précitées et persistant dans ses conclusions pour le surplus. B______ a dupliqué le 14 février 2014, persistant dans ses conclusions. d) Le 19 février 2014, le greffe de la Cour a informé les parties que la cause était gardée à juger. e) Les arguments des parties seront examinés dans la mesure utile dans la partie en droit ci-dessous, étant précisé que D______ sera désignée ci-après par les termes JOINT VENTURE. EN DROIT 1.             1.1. L'appel a été interjeté contre une décision incidente de première instance dans le délai de trente jours et suivant la forme prescrite par la loi (art. 130, 131, 308 al. 1 lit. a et 311 al. 1 CPC). Il est ainsi recevable.![endif]&gt;![if&gt; Comme les conclusions de première instance portent sur une valeur litigieuse supérieure à 10'000 fr. en capital, la Cour connaît de la présente cause avec un plein pouvoir d'examen (art. 310 CPC), tant en fait qu'en droit (hohl, Procédure civile, tome II, 2 ème éd., 2010, no 2314 et 2416, retornaz, L'appel et le recours, in Procédure civile suisse, 2010, p. 349ss). 1.2. Les faits et les moyens de preuve nouveaux ne sont pris en compte que s'ils sont invoqués sans retard et s'ils ne pouvaient être invoqués ou produits devant la première instance malgré toute la diligence requise (art. 317 al. 1 lit. a et b CPC; dietschy, Les conflits de travail en procédure civile suisse, p. 406, no 836; chaix, L'apport des faits au procès, in Procédure civile suisse, les grands thèmes pour les praticiens, p. 133 no 49; retornaz, op. cit. p. 401, no 163). En l'espèce, les pièces 40 à 43 et 45, établies longtemps avant la demande en justice de l'intimé, auraient dû, conformément à la diligence requise par la loi, être produites devant le Tribunal. Partant, elles sont irrecevables, étant précisé que la seule allégation de l'intimé à ce sujet, à savoir qu'il n'aurait retrouvé que récemment ces documents, à défaut de convaincre, ne suffit pas à rendre ces pièces recevables. La pièce no 44, non datée, que l'intimé indique n'avoir retrouvée que récemment, est irrecevable pour le même motif. Les pièces 46 à 49 auraient pu et dû être fournies déjà devant les premiers juges. En effet, les auteurs de ces documents s'expriment sur une période antérieure à la procédure et l'intimé ne prétend pas avoir été empêché de les obtenir plus tôt. Ces pièces sont donc irrecevables. Au demeurant, les pièces précitées ne sont pas déterminantes pour l'issue du litige. La pièce no 50, établie le 21 mars 2013 et qui concerne le présent, est en revanche recevable. 2.             L'appelante fait grief aux premiers juges d'avoir mal apprécié les faits et les témoignages et d'avoir violé en particulier l'art. 320 al. 1 et 2 CO. ![endif]&gt;![if&gt; 2.1. 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individuel de travail n'est soumis à aucune forme spéciale (art. 320 al. 1 CO). Le contrat dont la résolution est subordonnée à l'arrivée d'un événement incertain cesse de produire ses effets dès le moment où la condition s'accomplit (art. 154 al. 1 CO). La société anonyme est constituée par un acte passé en la forme authentique dans lequel les fondateurs déclarent la fonder, arrêtent le texte des statuts, désignent les organes et souscrivent les actions (art. 629 CO). Elle n'acquiert la personnalité que par son inscription au registre du commerce (art. 643 al. 1 CO). Chaque partie doit, si la loi ne prescrit le contraire, prouver les faits qu'elle allègue pour en déduire son droit. C'est ainsi qu'il appartient à celui qui prétend en déduire des droits d'apporter la preuve de l'existence d'un accord (art. 8 CC). 2.2. Le juge doit d'abord s'attacher à rechercher la réelle et commune intention des parties sans s'arrêter aux expressions ou dénominations inexactes dont elles ont pu se servir (art. 18 al. 1 CO). Lorsqu'elle ne peut pas être établie, il faut tenter de découvrir leur volonté présumée en interprétant leurs déclarations selon le sens que le destinataire pouvait et devait raisonnablement leur donner, selon les règles de la bonne foi. Le principe de la confiance permet d'imputer à une partie le sens objectif de sa déclaration ou de son comportement, même si celui-ci ne correspond pas à la volonté intime de l'intéressé (ATF 133 III 61 consid. 2.2.1).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(ibidem). 3. 3.1. En l'espèce, les parties ont conclu un contrat de travail qui devait automatiquement se terminer dès l'avènement de deux conditions cumulatives. Il était, en effet, prévu que ce contrat prendrait fin dès la date de la création de la JOINT VENTURE et de l'engagement subséquent de l'intimé par celle-ci à son service en tant que CEO. L'appelante soutient que le contrat litigieux a automatiquement pris fin à la date de l'inscription de la JOINT VENTURE au Registre du commerce, ce que l'intimée conteste, en raison de l'absence d'autorisation de la FINMA. L'appelante est d'avis que le contrat litigieux a automatiquement été repris par la JOINT VENTURE, l'intimé soutenant qu'un contrat de travail écrit devait être signé. 3.2. S'il est probable que par date de la "création" de la JOINT VENTURE, les parties ont voulu se référer à la date de l'inscription de celle-ci au registre du commerce, les éléments recueillis ne permettent pas de déterminer avec certitude quelle était la volonté réelle des parties à cet égard, pas plus qu'en ce qui concerne la forme et les modalités de l'engagement subséquent de l'intimé par la JOINT VENTURE. Pour vérifier si les conditions résolutoires convenues par les parties se sont réalisées, il convient, dès lors, de déterminer comment l'intimé pouvait et devait raisonnablement et de bonne foi les comprendre, selon le principe de la confiance. 3.3. L'intimé, qui dirigeait le projet C______ en vue de la création de la JOINT VENTURE dont il allait devenir le CEO devait, raisonnablement et de bonne foi, comprendre que la stipulation d'un terme fixe ("date") pour déterminer le moment de la création de la JOINT VENTURE faisait référence à la date d'inscription de celle-ci au Registre du commerce. Non seulement la date de l'inscription au Registre du commerce est fixe, mais elle est aussi déterminante pour une société anonyme, dès lors qu'elle acquiert à ce moment-là la personnalité. De surcroît, la JOINT VENTURE a eu une activité après son inscription au Registre du commerce, en particulier des réunions du conseil d'administration, la recherche de personnel et de clients, indépendamment du fait que la FINMA ne lui avait pas octroyé l'autorisation sollicitée, de sorte qu'elle a effectivement existé dès le 8 juillet 2010. 3.4. Pour que le contrat avec l'appelante soit automatiquement résolu, encore fallait-il que la JOINT VENTURE engage l'intimé à son service. 3.4.1. Le contrat de travail conclu entre les parties précisait que le salaire de l'intimé serait "reflété" par la JOINT VENTURE dans le contrat de travail définitif. Cette formulation, contrairement à l'avis de l'appelante, laisse entendre qu'un second accord interviendrait, qui serait consigné par écrit. Le terme "reflété" fait, en effet, penser à un support matériel. En outre, du moment que le contrat provisoire conclu entre les parties était écrit, l'intimé pouvait raisonnablement et de bonne foi comprendre que le contrat définitif serait soumis au même degré de formalisme. Eu égard au montant très élevé du salaire convenu (300'300 fr. par an), il est, en outre, peu convainquant que les parties aient prévu que la JOINT VENTURE engagerait l'intimé sans contrat écrit. Il est, enfin, établi qu'en février 2011, des modèles de contrats pour la JOINT VENTURE étaient en cours de rédaction. En l'absence de contrat écrit entre la JOINT VENTURE et l'intimé, ce dernier pouvait raisonnablement comprendre qu'il continuait à être employé par l'appelante. 3.4.2. Même si on retenait, selon le principe de la confiance, que le contrat litigieux prévoyait en fait la conclusion d'un contrat oral entre l'intimé et la JOINT VENTURE - ce qui n'est pas le cas -, l'appelante, qui en a la charge, n'a pas apporté la preuve que la JOINT VENTURE a engagé, à un moment donné, l'intimé à son service, serait-ce tacitement. Comme le voulait sa qualité d'administrateur de la JOINT VENTURE, l'intimé a œuvré dans l'intérêt de celle-ci. Il a recherché des clients, ouvert des comptes de clients dans les livres de l'appelante et géré les affaires courantes de la JOINT VENTURE (paiement de factures, recrutement de personnel, etc…). Il oeuvrait néanmoins aussi dans l'intérêt des actionnaires de la JOINT VENTURE, soit entre autres dans l'intérêt de l'appelante, actionnaire à 35 % de la JOINT VENTURE, ce à quoi s'ajoute que l'autre actionnaire de la JOINT VENTURE appartenait partiellement au groupe de l'appelante. Celle-ci a précisément conservé, après l'inscription de la JOINT VENTURE au Registre du commerce, un rôle actif dans le développement de celle-ci, ce qui ressort notamment d'un document du 22 juillet 2010, établi sur papier à en-tête de son groupe, qui indique que le comité de pilotage de ce qui était encore considéré comme un "projet", constitué entre autres de représentants de l'appelante, continuerait à se réunir mensuellement en tout cas jusqu'à la fin de l'année 2010. Une annexe au rapport de la réunion du conseil d'administration de la JOINT VENTURE tenue le 8 avril 2011, établie sur papier à en-tête du groupe de l'appelante, permet de retenir qu'à cette date encore, l'appelante exerçait une certaine supervision sur le développement de la JOINT VENTURE, ce à quoi s'ajoute qu'un témoin a affirmé que durant toute la période d'attente de l'autorisation de la FINMA en faveur de la JOINT VENTURE, c'était A______ qui pilotait le projet. Dans ce contexte, c'est, dès lors, à tort que l'appelante invoque une prétendue absence de lien de subordination entre elle-même et l'intimé après l'inscription de la JOINT VENTURE au Registre du commerce. La JOINT VENTURE, et, par conséquent, l'intimé, étaient soumis à un contrôle exercé par l'appelante, y compris par l'implication de celle-ci dans des domaines clés par le truchement du Master Service Agreement. L'appelante s'est, par ailleurs, chargée à l'égard de l'intimé des obligations généralement dévolues aux employeurs. En effet, elle a versé le salaire de l'intimé jusqu'au 31 octobre 2011. Plusieurs témoins se sont exprimés sur la question de la prise en charge, entière ou partielle, de ces montants par la JOINT VENTURE. Quoi qu'il en soit, dès lors que ce n'est que le 7 juin 2011 que A______ a facturé à celle-ci les services rendus en 2010, y compris des salaires ("refacturation staff"), le paiement de cette facture par la JOINT VENTURE n'est pas déterminant, pas plus que la facture du 7 février 2012 ("refacturation staff, période janv-nov. 2011") dont le paiement n'est, au demeurant, pas prouvé. En effet, aucun paiement de la JOINT VENTURE à l'appelante au titre du salaire de l'intimé n'est démontré entre le 8 juillet 2010 et le 7 juin 2011. L'appelante a entretenu dans l'esprit de l'intimé la compréhension légitime qu'elle assumait elle-même la charge financière de son salaire, compréhension que le "basculement des salaires" prévu au sein de la JOINT VENTURE n'a pu que renforcer. L'appelante a licencié l'intimé dans des termes qui laissent transparaître qu'elle le considérait comme son employé (courrier du 22 juin 2011). En outre, bien qu'agissant en vertu du Master Service Agreement, soit en théorie pour le compte de la JOINT VENTURE, l'appelante s'est effectivement présentée comme l'employeur de l'intimé dans ses rapports avec les autorités. C'est ainsi qu'elle a établi le certificat annuel de salaire de l'intimé pour l'entier de l'année 2010 (et non uniquement jusqu'au 8 juillet 2010) et confirmé la teneur des certificats du canton de Zurich relatifs à l'impôt à la source pour la période du 15 mars au 31 décembre 2010 et pour la période du 1 er janvier au 31 octobre 2011. En octobre 2011, c'est à l'appelante que l'administration des impôts du canton de Zurich s'est adressée en sa qualité d'employeur de l'intimé, l'appelante étant en outre le dernier employeur à avoir communiqué un salaire à la Caisse de compensation des banques suisses concernant celui-ci. Au vu de l'ensemble de ces éléments, les deux documents établis par la JOINT VENTURE, les 16 novembre et 31 décembre 2011, sont insuffisants pour considérer que l'intimé est devenu l'employé de la JOINT VENTURE, étant relevé que les enquêtes n'ont pas permis d'établir si celle-ci s'était quant à elle annoncée aux autorités en tant qu'employeur avant le licenciement de l'intimé. Ce qui précède conduit à retenir que l'intimé pouvait raisonnablement et de bonne foi comprendre qu'il continuait à être employé par l'appelante. De surcroît, la responsable des ressources humaines de l'appelante a déclaré que celui-ci serait devenu l'employé de la JOINT VENTURE en 2011 seulement - soit bien après le 8 juillet 2010 -, toutefois sans se souvenir quand elle avait reçu l'instruction d'introduire ce changement dans le système informatique. A la lumière des éléments retenus ci-dessus, le fait que les autres membres du conseil d'administration de la JOINT VENTURE aient eu des entretiens avec l'intimé en relation avec la fin de son activité dans le cadre de celle-ci ne suffit pas pour en déduire l'existence d'un contrat de travail entre l'intimé et la JOINT VENTURE. Par ailleurs, le seul fait que l'intimé ait bénéficié du délai de congé réservé aux membres de la direction selon le règlement du personnel de l'appelante, ne conduit pas à retenir qu'il était, de ce seul fait, en réalité employé par la JOINT VENTURE en vertu de son statut dans cette société, étant rappelé qu'à teneur de sa fiche de départ, l'intimé était bien affecté à l'entité du nom de l'appelante, au sein du département du nom de la JOINT VENTURE, avec le titre de Direction générale. Enfin, que l'intimé se soit présenté sur internet comme ancien CEO de la JOINT VENTURE est dénué de pertinence juridique. 3.4.3. La seconde condition résolutoire ne s'est donc pas réalisée, de sorte que les parties sont restées liées par le contrat de travail litigieux. 3.5. Le Tribunal a retenu, à bon droit, que l'appelante a la légitimation passive dans la présente procédure. Compte tenu de ce qui précède, l'appel sera rejeté et le jugement entrepris sera confirmé. 4. L'appelante, qui succombe, supportera les frais d'appel, arrêtés à 2'500 fr. et couverts par l'avance déjà opérée, qui reste acquise à l'Etat (art. 23 et 68 RTFMC; art. 95, 101 al. 1, 106 al. 1 CPC). Il n'est pas alloué de dépens (art. 22 al. 2 LaCC). * * * * * PAR CES MOTIFS, La Chambre des prud'hommes, groupe 4 : À la forme : Déclare recevable l'appel interjeté par A______ SA contre le jugement JTPH/319/2013 rendu le 7 octobre 2013 par le Tribunal des prud'hommes dans la cause C/22830/2011-4. Déclare irrecevables les pièces nouvelles nos 40 à 49 produites par B______. Au fond : Confirme le jugement querellé. Déboute les parties de toutes autres conclusions. Sur les frais d'appel : Arrête à 2'500 fr. les frais judiciaires d'appel, qui sont compensés par l'avance de frais effectuée par A______ SA, qui reste acquise à l'Etat de Genève. Les met à la charge de A______ SA. Dit qu'il n'est pas alloué de dépens. Siégeant : Monsieur Laurent RIEBEN, président; Monsieur Olivier GROMETTO,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