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C/22796/2015 vom 17. Oktober 2016</w:t>
      </w:r>
    </w:p>
    <w:p>
      <w:r>
        <w:t>GE Cour de justice, 2016-10-17, FR</w:t>
      </w:r>
    </w:p>
    <w:p>
      <w:r>
        <w:rPr>
          <w:b/>
        </w:rPr>
        <w:t xml:space="preserve">Quelle: </w:t>
      </w:r>
      <w:r>
        <w:t>https://mcp.opencaselaw.ch/entscheid/ge_gerichte_C_22796_2015</w:t>
      </w:r>
    </w:p>
    <w:p>
      <w:r>
        <w:t>FR: GE_GERICHTE C/22796/2015 du 17 octobre 2016</w:t>
      </w:r>
    </w:p>
    <w:p>
      <w:r>
        <w:t>IT: GE_GERICHTE C/22796/2015 del 17 ottobre 2016</w:t>
      </w:r>
    </w:p>
    <w:p>
      <w:pPr>
        <w:pStyle w:val="Heading2"/>
      </w:pPr>
      <w:r>
        <w:t>Regeste</w:t>
      </w:r>
    </w:p>
    <w:p>
      <w:r>
        <w:t>CAS CLAIR; PROCÉDURE SOMMAIRE; INDEMNITÉ(EN GÉNÉRAL) | CPC.257; CO.97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 valeur litigieuse est déterminée par les dernières conclusions de 1 ère instance (art. 91 al. 1 CPC; Jeandin, Code de procédure civile commenté, Bâle, 2011, n. 13 ad art. 308 CPC; arrêt du Tribunal fédéral 4A_594/2012 du 28 février 2013). En l'occurrence, la valeur litigieuse est de 73'700 fr. Elle est ainsi supérieure aux 10'000 fr. prévus à l'art. 308 al. 2 CPC, de sorte que la voie de l'appel est ouverte.</w:t>
      </w:r>
    </w:p>
    <w:p>
      <w:r>
        <w:rPr>
          <w:b/>
        </w:rPr>
        <w:t>E. 1.2</w:t>
      </w:r>
    </w:p>
    <w:p>
      <w:r>
        <w:t>Le jugement querellé a été rendu en procédure sommaire par le Tribunal des baux et loyers. C'est donc une décision finale de 1 ère instance au sens de l'art. 308 al. 1 CPC.</w:t>
      </w:r>
    </w:p>
    <w:p>
      <w:r>
        <w:rPr>
          <w:b/>
        </w:rPr>
        <w:t>E. 1.3</w:t>
      </w:r>
    </w:p>
    <w:p>
      <w:r>
        <w:t>L'appel et la réponse y relative ont été interjetés dans les délais et suivant les formes prescrites par la loi (art. 130, 131, 311 et 312 CPC) et sont ainsi recevables.</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L'appelante soutient que le Tribunal a violé l'art. 257 CPC, en considérant que la requête de la citée du 3 novembre 2015 revêtait la forme du cas clair.![endif]&gt;![if&gt;</w:t>
      </w:r>
    </w:p>
    <w:p>
      <w:r>
        <w:rPr>
          <w:b/>
        </w:rPr>
        <w:t>E. 2.1</w:t>
      </w:r>
    </w:p>
    <w:p>
      <w:r>
        <w:t>Cette procédure est admise lorsque les conditions suivantes sont remplies : l'état de fait n'est pas litigieux ou est susceptible d'être prouvé immédiatement et la situation juridique est claire (art. 257 al.1 let. a et b CPC). La situation juridique est claire lorsque l'application de la norme au cas concret s'impose de façon évidente au regard du texte légal ou sur la base d'une doctrine et d'une jurisprudence éprouvée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consid.5). En revanche, les moyens manifestement infondés ou dénués de pertinence sur lesquels il est possible de statuer immédiatement ne suffisent pas à exclure le cas clair (ATF 138 III 620 consid.5 = SJ 2013 I 283; arrêts du Tribunal fédéral 4A_415/2013 du 20 janvier 2014 consid. 6 et 5A_768/2012 du 17 mai 2013 consid. 4.2.1). L'état de fait n'est pas litigieux lorsqu'il est incontesté, à savoir lorsque les faits tels que présentés par le requérant ne sont pas remis en cause par le défendeur. On ne peut pas le déduire du simple défaut du défendeur ( ACJC/1003/2012 du 11 juillet 2012). 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 ACJC/1003/2012 du 11 juillet 2012). De jurisprudence constante, le contrat de bail signé par le locataire vaut titre de mainlevée pour le loyer échu (SJ 1984 p. 390). Le locataire qui se maintient dans les locaux loués après l'expiration du bail commet une faute contractuelle (art. 97 ss CO). A titre de dommages et intérêts, le bailleur pourra notamment lui réclamer une indemnité pour occupation illicite des locaux, dont le montant équivaut en règle générale à celui du loyer pour la période pendant laquelle le locataire demeure dans les lieux (Lachat, Le bail à loyer, 2008, p. 821).</w:t>
      </w:r>
    </w:p>
    <w:p>
      <w:r>
        <w:rPr>
          <w:b/>
        </w:rPr>
        <w:t>E. 2.2</w:t>
      </w:r>
    </w:p>
    <w:p>
      <w:r>
        <w:t>En procédure sommaire, la preuve est rapportée par titre (art. 254 al. 1 CPC), au sens de l'art. 177 CPC, à savoir des documents, tels les écrits, les dessins, les plans, les photographies, les films, les enregistrements sonores, les fichiers électroniques et les données analogues propres à prouver les faits pertinents ( ACJC/1003/2012 du 11 juillet 2012). La sous-location comporte des risques importants pour le locataire principal. En particulier, si le sous-locataire ne s'acquitte pas de son loyer, le locataire principal doit payer le sien (Lachat, op. cit., p. 567).</w:t>
      </w:r>
    </w:p>
    <w:p>
      <w:r>
        <w:rPr>
          <w:b/>
        </w:rPr>
        <w:t>E. 2.3</w:t>
      </w:r>
    </w:p>
    <w:p>
      <w:r>
        <w:t>En l'occurrence, les faits sont établis par les pièces et la situation juridique est claire, ainsi que cela ressort des considérants qui suivent. Par conséquent, la procédure du cas clair est bien applicable. Un contrat de bail a valablement été conclu entre A______SA et B______AG. Dès lors, l'appelante est débitrice de l'intimée d'un loyer mensuel de 3'350 fr. En vertu du contrat de sous-location conclu entre A______SA et D______SÀRL, celle-ci est débitrice de A______SA, et non de B______AG. Par conséquent, si l'intimée ne perçoit pas le loyer mensuel dû de 3'350 fr., elle doit le réclamer à sa cocontractante, à savoir A______SA. L'intimée a justifié être au bénéfice d'un contrat de bail et a produit un décompte prouvant les arriérés de loyers dus par l'appelante de mars 2014 à novembre 2015, soit un montant total de 70'350 fr. (21 x 3'350 fr.). Elle a amplifié ses conclusions lors de l'audience du 16 décembre 2015, ajoutant le loyer pour le mois de décembre 2015 et portant ainsi le montant total réclamé à 73'700 fr. L'appelante a tenté de démontrer, tout au long de la procédure, que certains loyers avaient été directement acquittés par D______SÀRL auprès de l'intimée. Cependant, la seule preuve qu'elle a tenté d'apporter réside en la déclaration de sa sous-locataire, dans le cadre d'une autre procédure, qui a affirmé que des montants avaient été directement versés par D______SÀRL à l'intimée. La preuve du paiement du loyer demeure un élément pouvant être aisément démontré par titre, notamment par des virements bancaires ou postaux ou par des quittances de paiement. Ainsi, la bailleresse a apporté la preuve du non-paiement des loyers et indemnités pour occupation illicite et la locataire n'est pas parvenue à en apporter la contre-preuve. Par ailleurs, un élément vient renforcer cette position. En effet, en date du 10 février 2016, E______, associé-gérant de D______SÀRL, a affirmé n'avoir jamais payé de loyer en mains du bailleur. Dans le cadre de sa motivation, le Tribunal a pris en considération l'ensemble des faits pertinents établis à la résolution du présent litige. Il a principalement relevé qu'un contrat de bail avait été conclu et que la locataire avait affirmé n'avoir aucune preuve de ces paiements hormis les déclarations de sa sous-locataire à l'occasion d'une audience dans le cadre d'une autre procédure.</w:t>
      </w:r>
    </w:p>
    <w:p>
      <w:r>
        <w:rPr>
          <w:b/>
        </w:rPr>
        <w:t>E. 2.4</w:t>
      </w:r>
    </w:p>
    <w:p>
      <w:r>
        <w:t>Le cas étant ainsi clair, tant s'agissant des faits que du droit, le grief de la violation de l'art. 257 CPC doit être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décembre 2015 par A______SA contre le jugement JTBL/1355/2015 du 16 décembre 2015 rendu par le Tribunal des baux et loyers dans la cause C/22796/2015-8 SD. Au fond : Confirme ce jugement. Déboute les parties de toutes autres ou contraires conclusions. Dit que la procédure est gratuite.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