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C/22793/2017 vom 18. Juni 2018</w:t>
      </w:r>
    </w:p>
    <w:p>
      <w:r>
        <w:t>GE Cour de justice, 2018-06-18, FR</w:t>
      </w:r>
    </w:p>
    <w:p>
      <w:r>
        <w:rPr>
          <w:b/>
        </w:rPr>
        <w:t xml:space="preserve">Quelle: </w:t>
      </w:r>
      <w:r>
        <w:t>https://mcp.opencaselaw.ch/entscheid/ge_gerichte_C_22793_2017</w:t>
      </w:r>
    </w:p>
    <w:p>
      <w:r>
        <w:t>FR: GE_GERICHTE C/22793/2017 du 18 juin 2018</w:t>
      </w:r>
    </w:p>
    <w:p>
      <w:r>
        <w:t>IT: GE_GERICHTE C/22793/2017 del 18 giugno 2018</w:t>
      </w:r>
    </w:p>
    <w:p>
      <w:pPr>
        <w:pStyle w:val="Heading2"/>
      </w:pPr>
      <w:r>
        <w:t>Regeste</w:t>
      </w:r>
    </w:p>
    <w:p>
      <w:r>
        <w:t>CAS CLAIR ; EXPULSION DE LOCATAIRE ; DÉFAUT DE PAIEMENT ; SOMMATION | CPC.257; CO.257.letd</w:t>
      </w:r>
    </w:p>
    <w:p>
      <w:pPr>
        <w:pStyle w:val="Heading2"/>
      </w:pPr>
      <w:r>
        <w:t>Erwägungen</w:t>
      </w:r>
    </w:p>
    <w:p>
      <w:r>
        <w:rPr>
          <w:b/>
        </w:rPr>
        <w:t>E. 2</w:t>
      </w:r>
    </w:p>
    <w:p>
      <w:r>
        <w:t>juin 2008 consid. 1.1; 4A_516/2007 du 6 mars 2008 consid. 1.1).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w:t>
      </w:r>
    </w:p>
    <w:p>
      <w:r>
        <w:rPr>
          <w:b/>
        </w:rPr>
        <w:t>E. 2.2</w:t>
      </w:r>
    </w:p>
    <w:p>
      <w:r>
        <w:t>En l'espèce, la valeur litigieuse, calculée sur la base des dernières conclusions de première instance, est inférieure à 10'000 fr. (200 fr. x 12 mois x 3 fr. = 7'200 fr.). Ainsi, seule la voie du recours est ouverte. Partant, interjeté selon la forme et dans le délai prescrits par la loi, l'appel, converti en recours, est recevable.</w:t>
      </w:r>
    </w:p>
    <w:p>
      <w:r>
        <w:rPr>
          <w:b/>
        </w:rPr>
        <w:t>E. 2.3</w:t>
      </w:r>
    </w:p>
    <w:p>
      <w:r>
        <w:t>En vertu de l'art. 320 CPC, le recours est recevable pour violation du droit (let. a) ou constatation manifestement inexacte des faits (let. b).</w:t>
      </w:r>
    </w:p>
    <w:p>
      <w:r>
        <w:rPr>
          <w:b/>
        </w:rPr>
        <w:t>E. 3</w:t>
      </w:r>
    </w:p>
    <w:p>
      <w:r>
        <w:t>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 Selon l'art. 257 al. 3 CPC, le juge n'entre pas en matière si l'une ou l'autre de ces hypothèses n'est pas vérifiée (arrêt du Tribunal fédéral 4A_92/2016 du 21 mars 2016 consid. 6; SJ 2013 I 129). La procédure du cas clair est, alors, irrecevable (ATF 141 III 23 consid. 3.2; 138 III 620 consid. 5.1.1 et les réf. cit.).</w:t>
      </w:r>
    </w:p>
    <w:p>
      <w:r>
        <w:rPr>
          <w:b/>
        </w:rPr>
        <w:t>E. 3.2</w:t>
      </w:r>
    </w:p>
    <w:p>
      <w:r>
        <w:t>Pour être valable, la résiliation doit être adressée par l'une des parties au bail à l'autre. Le congé donné par des tiers à la relation contractuelle est nul, voire inexistant (BOHNET/MONTINI, Droit du bail à loyer, 2010, n. 36 ad art. 266o CO; LACHAT, Le bail à loyer, Lausanne 2008, p. 727). Par exemple, le congé donné par le bailleur principal au sous-locataire est sans effet (LACHAT, op. cit., p. 626). La nullité peut être invoquée en tout temps, sauf abus de droit, et doit être soulevée d'office par le juge, à n'importe quel stade de la procédure, y compris lors de la procédure d'expulsion (LACHAT, op. cit. p. 727).</w:t>
      </w:r>
    </w:p>
    <w:p>
      <w:r>
        <w:rPr>
          <w:b/>
        </w:rPr>
        <w:t>E. 3.3</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d’office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 ACJC/1205/2017 du 25 septembre 2017 consid. 2.2).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Le locataire doit pouvoir reconnaître que le bailleur possède contre lui une créance exigible encore impayée.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(arrêts du Tribunal fédéral 4A_134/2011 du 23 mai 2011 consid. 3 et les réf. cit.; 4C_123/2000 du 14 juin 2000 consid. 3b, in CdB 2000 p. 109; LACHAT, op cit., p. 666; BURKHALTER/ MARTINEZ-FAVRE, Commentaire SVIT du droit du bail, Lausanne 2011, p. 123; LACHAT, Commentaire romand CO I, 2012, n. 4 ad art. 257d CO; WESSNER, Droit du bail à loyer, 2010, n. 17 ad art. 257d CO).</w:t>
      </w:r>
    </w:p>
    <w:p>
      <w:r>
        <w:rPr>
          <w:b/>
        </w:rPr>
        <w:t>E. 3.4</w:t>
      </w:r>
    </w:p>
    <w:p>
      <w:r>
        <w:t>En l'espèce, les avis de résiliation des 17 octobre et 2 décembre 2016 ont émané de l’intimé. Or, au terme du contrat, le bailleur est désigné comme étant D______. En outre, sous la rubrique « le(s) bailleur(s) », deux signatures ont été apposées. La seule mention, dans la lettre de la mise en demeure, de ce qu'une erreur serait intervenue, lors de la conclusion du bail, ne modifie pas cette appréciation. Aussi, le Tribunal ne pouvait déterminer, dans le cadre d’une procédure sommaire et par conséquent sans instruction, l’identité du ou des bailleurs et par conséquent si les congés étaient - ou non - affectés d’une nullité qu’il devrait constater d’office. A cela s’ajoute, s’agissant de la résiliation du 2 décembre 2016 notifiée pour défaut de paiement, que l’intimé n’a produit ni avis de fixation du loyer initial ni décompte de loyers ou extrait de compte bancaire. Le Tribunal ne pouvait donc examiner – ce qu’il devait faire d’office – si la créance invoquée par l’intimé existait effectivement et si elle était exigible.</w:t>
      </w:r>
    </w:p>
    <w:p>
      <w:r>
        <w:rPr>
          <w:b/>
        </w:rPr>
        <w:t>E. 3.5</w:t>
      </w:r>
    </w:p>
    <w:p>
      <w:r>
        <w:t>Par conséquent, le recours sera admis, le jugement querellé annulé et la requête en cas clair déclarée irrecevable.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4 décembre 2017 par A______ et B______ contre le jugement JTBL/1054/2017 rendu le 13 novembre 2017 par le Tribunal des baux et loyers dans la cause C/22793/2017-7-SD. Au fond : Annule ce jugement et, statuant à nouveau : Déclare irrecevable la requête déposée le 4 octobre 2017 par C______. Dit que la procédure est gratuite. Siégeant : Madame Nathalie LANDRY-BARTHE, présidente; Madame Sylvie DROIN et Monsieur Laurent RIEBEN, juges; Monsieur Bertrand REICH et Madame Laurence MIZRAHI,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