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C/22694/2012 vom 14. November 2013</w:t>
      </w:r>
    </w:p>
    <w:p>
      <w:r>
        <w:t>GE Cour de justice, 2013-11-14, FR</w:t>
      </w:r>
    </w:p>
    <w:p>
      <w:r>
        <w:rPr>
          <w:b/>
        </w:rPr>
        <w:t xml:space="preserve">Quelle: </w:t>
      </w:r>
      <w:r>
        <w:t>https://mcp.opencaselaw.ch/entscheid/ge_gerichte_C_22694_2012</w:t>
      </w:r>
    </w:p>
    <w:p>
      <w:r>
        <w:t>FR: GE_GERICHTE C/22694/2012 du 14 novembre 2013</w:t>
      </w:r>
    </w:p>
    <w:p>
      <w:r>
        <w:t>IT: GE_GERICHTE C/22694/2012 del 14 novembre 2013</w:t>
      </w:r>
    </w:p>
    <w:p>
      <w:pPr>
        <w:pStyle w:val="Heading2"/>
      </w:pPr>
      <w:r>
        <w:t>Regeste</w:t>
      </w:r>
    </w:p>
    <w:p>
      <w:r>
        <w:t>ABANDON D'EMPLOI; INDEMNITÉ DE DÉPART; RÉSILIATION IMMÉDIATE | CO.337d; CO.337; CO.337c.1; CO.321e.1</w:t>
      </w:r>
    </w:p>
    <w:p>
      <w:pPr>
        <w:pStyle w:val="Heading2"/>
      </w:pPr>
      <w:r>
        <w:t>Erwägungen</w:t>
      </w:r>
    </w:p>
    <w:p>
      <w:r>
        <w:rPr>
          <w:b/>
        </w:rPr>
        <w:t>E. 4</w:t>
      </w:r>
    </w:p>
    <w:p>
      <w:r>
        <w:t>4.1 En vertu de l'art. 337 CO, l'employeur et le travailleur peuvent résilier immédiatement le contrat en tout temps pour de justes motifs (al. 1). Sont notamment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(ATF 130 III 28 consid. 4.1 p. 31; 129 III 380 consid. 2.1).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4A_215/2011 du 2 novembre 2011)</w:t>
      </w:r>
    </w:p>
    <w:p>
      <w:r>
        <w:rPr>
          <w:b/>
        </w:rPr>
        <w:t>E. 4.2</w:t>
      </w:r>
    </w:p>
    <w:p>
      <w:r>
        <w:t>L'appelante estime qu'elle pouvait résilier les rapports de travail, dès lors que l'employé avait pris des engagements pour une autre mission auprès d'un autre employeur. Il aurait violé son devoir de fidélité à l'égard de son employeur. Or, contrairement à ce que soutient l'appelante, il ne ressort pas du dossier que l'intimé ait accepté une autre mission avant la fin des rapports de travail. Cela étant, une activité concurrente de l'intimé, qui aurait été constitutive d'une violation contractuelle de nature à justifier une résiliation des rapports de travail n'a pas été invoquée par l'appelante pour mettre en demeure l'intimé respectivement pour résilier son contrat. Le grief de l'appelante sera par conséquent rejeté, vu l'absence de juste motif de résiliation immédiate.</w:t>
      </w:r>
    </w:p>
    <w:p>
      <w:r>
        <w:rPr>
          <w:b/>
        </w:rPr>
        <w:t>E. 5</w:t>
      </w:r>
    </w:p>
    <w:p>
      <w:r>
        <w:t>5.1 En vertu de l'art. 337c al. 1, lorsque l'employeur résilie immédiatement le contrat sans justes motifs, le travailleur a droit à ce qu'il aurait gagné, si les rapports de travail avaient pris fin à l'échéance du délai de congé.</w:t>
      </w:r>
    </w:p>
    <w:p>
      <w:r>
        <w:rPr>
          <w:b/>
        </w:rPr>
        <w:t>E. 5.2</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w:t>
      </w:r>
    </w:p>
    <w:p>
      <w:r>
        <w:rPr>
          <w:b/>
        </w:rPr>
        <w:t>E. 5.3</w:t>
      </w:r>
    </w:p>
    <w:p>
      <w:r>
        <w:t>Ni l'appelante, dans une éventuelle argumentation subsidiaire, ni l'intimé n'ont critiqué le principe et la quotité des montants accordés par les premiers juges en application de l'art. 337c al. 1 CO, lesquels apparaissent corrects. Le jugement querellé sera par conséquent confirmé sur ces différents points.</w:t>
      </w:r>
    </w:p>
    <w:p>
      <w:r>
        <w:rPr>
          <w:b/>
        </w:rPr>
        <w:t>E. 6</w:t>
      </w:r>
    </w:p>
    <w:p>
      <w:r>
        <w:t>.2 Lorsque deux personnes sont débitrices l’une envers l’autre de sommes d’argent, chacune des parties peut compenser sa dette avec sa créance, si les deux dettes sont exigibles (art. 130 al. 1 CO). Le débiteur peut opposer la compensation même si sa créance est contestée (art. 130 al. 2 CO), étant précisé que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2013, ad art. 321e n. 11).</w:t>
      </w:r>
    </w:p>
    <w:p>
      <w:r>
        <w:rPr>
          <w:b/>
        </w:rPr>
        <w:t>E. 6.3</w:t>
      </w:r>
    </w:p>
    <w:p>
      <w:r>
        <w:t>L'appelante oppose en compensation un manque à gagner qu'elle évalue à 5'400 fr. Elle fonde sa prétention sur l'art. 337d CO. Elle estime qu'elle n'a pas à prouver son dommage, à moins qu'il soit supérieur au quart du salaire mensuel. Or, d'une part, au vu de ce qui précède l'intimé n'a commis aucun abandon de poste, de sorte que l'appelante n'a pas droit à une indemnité fondée sur l'art. 337d al. 1 CO. D'autre part, il n'a pas été établi que l'intimé aurait violé ses obligations contractuelles à l'égard de l'appelante et cette dernière n'a pas établi son dommage allégué, alors que la preuve lui incombait. Partant, c'est à bon droit que les premiers juges ont écarté l'exception de compensation soulevée par l'appelante.</w:t>
      </w:r>
    </w:p>
    <w:p>
      <w:r>
        <w:rPr>
          <w:b/>
        </w:rPr>
        <w:t>E. 7</w:t>
      </w:r>
    </w:p>
    <w:p>
      <w:r>
        <w:t>S'agissant de la délivrance de certificats de travail et de salaire, qui n'est pas remise en cause par l’appelante, le jugement sera également confirmé à cet égard.</w:t>
      </w:r>
    </w:p>
    <w:p>
      <w:r>
        <w:rPr>
          <w:b/>
        </w:rPr>
        <w:t>E. 8</w:t>
      </w:r>
    </w:p>
    <w:p>
      <w:r>
        <w:t>Compte tenu de ce qui précède, l’appel est totalement infondé et le jugement entrepris sera entièrement confirmé.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 PAR CES MOTIFS, La Chambre des prud'hommes, groupe 1 : À la forme : Déclare recevable l'appel interjeté par A______ SARL contre le jugement JTPH/384/2013 rendu le 14 novembre 2013 par le Tribunal des prud'hommes dans la cause C/22694/2012. Au fond : Confirme le jugement entrepris. Déboute les parties de toutes autres conclusions. Sur les frais d'appel : Dit que la procédure est gratuite. Dit qu'il n'est pas alloué de dépens. Siégeant : Madame Elena SAMPEDRO, présidente; Monsieur Roberto SPINELLI, juge employeur, Monsieur Roger EMMENEGGER, juge salarié, Madame Véronique BULUNDWE,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