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C/22561/2020 vom 4. Mai 2021</w:t>
      </w:r>
    </w:p>
    <w:p>
      <w:r>
        <w:t>GE Cour de justice, 2021-05-04, FR</w:t>
      </w:r>
    </w:p>
    <w:p>
      <w:r>
        <w:rPr>
          <w:b/>
        </w:rPr>
        <w:t xml:space="preserve">Quelle: </w:t>
      </w:r>
      <w:r>
        <w:t>https://mcp.opencaselaw.ch/entscheid/ge_gerichte_C_22561_2020</w:t>
      </w:r>
    </w:p>
    <w:p>
      <w:r>
        <w:t>FR: GE_GERICHTE C/22561/2020 du 4 mai 2021</w:t>
      </w:r>
    </w:p>
    <w:p>
      <w:r>
        <w:t>IT: GE_GERICHTE C/22561/2020 del 4 maggio 2021</w:t>
      </w:r>
    </w:p>
    <w:p>
      <w:pPr>
        <w:pStyle w:val="Heading2"/>
      </w:pPr>
      <w:r>
        <w:t>Regeste</w:t>
      </w:r>
    </w:p>
    <w:p>
      <w:r>
        <w:t>CPC.317</w:t>
      </w:r>
    </w:p>
    <w:p>
      <w:pPr>
        <w:pStyle w:val="Heading2"/>
      </w:pPr>
      <w:r>
        <w:t>Volltext</w:t>
      </w:r>
    </w:p>
    <w:p>
      <w:r>
        <w:t>Genève Cour de Justice (Cour civile) Chambre civile (Sommaires) 14.07.2021 C/22561/2020</w:t>
      </w:r>
    </w:p>
    <w:p>
      <w:r>
        <w:t>C/22561/2020 ACJC/936/2021 du 14.07.2021 sur OSQ/23/2021 ( SQP ) , IRRECEVABLE Normes : CPC.317 En fait En droit Par ces motifs RÉPUBLIQUE ET CANTON DE GENÈVE POUVOIR JUDICIAIRE C/22561/2020 ACJC/936/2021 ARRÊT DE LA COUR DE JUSTICE Chambre civile DU MERCREDI 14 JUILLET 2021 Entre Monsieur A ______ , domicilié ______ [GE], recourant contre un jugement sur opposition à séquestre rendu par la 13ème Chambre du Tribunal de première instance de ce canton le 4 mai 2021, comparant par Me Patrick KÖNITZER, avocat, KAISER ODERMATT &amp; PARTNER AG, Baarerstrasse 12, case postale 458, 6301 Zug, en l'Étude duquel il fait élection de domicile, et B ______ LTD , sise ______ [VD], en l'Étude duquel elle fait élection de domicile. EN FAIT A. Par jugement du 4 mai 2021, reçu par A______ le 6 mai 2021, le Tribunal de première instance, statuant par voie de procédure sommaire, a notamment rejeté l'opposition à séquestre formée par A______ contre l'ordonnance de séquestre rendue le 18 novembre 2020 dans la présente cause (ch. 3 du dispositif). Cette ordonnance a été rendue à la requête de B______ LTD. Le séquestre porte sur une créance de 1'358'384 fr., intérêts en sus, résultant d'une sentence arbitrale du 29 octobre 2020. Durant la procédure de première instance, B______ LTD était représentée par Me C______ de l'Etude d'avocats D______, sans que A______ ne formule d'objection à cet égard. B. a. Le 17 mai 2021, A______ a formé recours contre ce jugement, concluant à son annulation, avec suite de frais et dépens. b. Le 14 juin 2021, se référant à un précédent courrier adressé par ses soins à Me E______ le 1 er juin 2021, et adressé en copie à la Cour, il a formé une requête tendant à faire interdiction à D______ et plus particulièrement à Me E______ et Me C______ de postuler dans la présente cause. Au fil d'une argumentation peu claire, il a fait valoir que D______ "agissai[t] pour le compte de l'un ou l'autre des membres du conseil d'administration des Sociétés du groupe G______ et qu'il y avait donc un conflit d'intérêts insoluble". Il a produit plusieurs pièces nouvelles. c. Le 18 juin 2021, se référant à sa réponse du 1 er juin 2021 à A______ et adressée en copie à la Cour, Me E______ a relevé que D______ ne défendait pas les intérêts du groupe G______ ni ceux de ses anciens membres du conseil d'administration. F______ avait agi en tant que représentante de B______ LTD durant la procédure arbitrale. D______ avait représenté cette dernière dans la procédure judiciaire ouverte au printemps 2019 devant le Tribunal à la suite de son éviction illégale du conseil d'administration de G______. A______ le savait de longue date et ne s'en était jamais plaint. Il n'y avait aucun conflit d'intérêts. A______ n'expliquait d'ailleurs pas concrètement en quoi consistait le prétendu conflit d'intérêts qu'il alléguait. Les faits qui fondaient le cas d'espèce, à savoir l'obligation de rachat par A______ des actions de B______ LTD, ne concernaient ni les sociétés du groupe G______, ni ses anciens administrateurs. d. Les parties ont été informées le 12 juillet 2021 par la Cour de ce que la cause était gardée à juger sur la question de l'interdiction de postuler. EN DROIT 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CPC). Déposé dans le délai et selon les formes requis par la loi, le recours formé le 17 mai 2021 par A______ contre le jugement du 4 mai 2021 semble prima facie recevable. 2. Le recourant a pris, dans des écritures déposées après l'échéance du délai de recours, des conclusions nouvelles, demandant que la Cour interdise à D______, et plus particulièrement à Me E______ et Me C______, de postuler dans la présente cause. Il a également produit des pièces nouvelles. La plupart d'entre elles sont antérieures au 29 mars 2021, date à laquelle la cause a été gardée à juger par le Tribunal, à l'exception de trois courriers rédigés par son avocat en mai et juin 2021. 2.1 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 Les « faits nouveaux » , qui selon l' art. 278 al. 3 2e phrase LP , peuvent être invoqués devant l'instance de recours, comprennent autant les pseudo nova que les vrais nova ,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 art. 317 al. 1 CPC (ATF 145 III 324 consid. 6.6 et 6.2).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A teneur de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Selon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(al. 1). S'il n'y a pas eu de second échange d'écritures ni de débats d'instruction, les faits et moyens de preuves nouveaux sont admis à l'ouverture des débats principaux (art. 229 al. 2). 2.2 En l'espèce, le recourant n'explique pas sur quels faits nouveaux, vrais ou faux, il fonde ses conclusions nouvelles, lesquelles ont été formées largement après l'expiration du délai de recours. Il ne discute d'ailleurs aucune des conditions de recevabilité posées par la loi pour l'admission de conclusions nouvelles, contrairement à l'obligation de motivation prescrite par l'art. 321 CPC. Toutes les pièces nouvelles produites par le recourant, à l'exception des courriers rédigés par ses soins, sont antérieures à la date à laquelle la cause a été gardée à juger par le Tribunal et le recourant n'explique pas pour quel motif il ne pouvait pas s'en prévaloir en première instance. L'on relèvera à cet égard que l'intimée était déjà représentée par un avocat de D______ en première instance et que cela n'a suscité aucune réaction de la part du recourant. Les lettres qu'il a écrites en mai et juin 2021 sont quant à elles postérieures au 29 mars 2021, mais le recourant n'explique pas pour quel motif il ne pouvait pas les rédiger plus tôt. Ses conclusions en interdiction de postuler sont dès lors irrecevables. Même à supposer qu'elles aient été recevables, ces conclusions auraient été infondées. Rien ne permet de retenir que D______, comme le soutient le recourant, défende les intérêts des sociétés du groupe G______ ou ceux de ses anciens administrateurs. Au demeurant, si tel était le cas, A______ n'établit pas concrètement en quoi cela empêcherait D______ de postuler dans la présente cause. Il résulte de ce qui précède que la demande de A______ tendant à l'interdiction de postuler de D______, Me E______ et Me C______ est irrecevable. La suite de la procédure sera fixée par ordonnance séparée. 3. Il sera statué sur les frais et dépens de la présente décision dans l'arrêt qui sera rendu à l'issue de la procédure (art. 104 al. 3 CPC). * * * * * PAR CES MOTIFS, La Chambre civile : Déclare irrecevables les conclusions en interdiction de postuler dans la présente cause formées par A______ le 14 juin 2021. Dit qu'il sera statué sur les frais et dépens de la présente décision dans l'arrêt qui sera rendu au fond. Réserve la suite de la procédure. Siégeant : Madame Fabienne GEISINGER-MARIETHOZ, présidente ad interim , Madame  Nathalie LANDRY-BARTHE et Monsieur Laurent RIEBEN, juges; Madame  Laura SESSA, greffière. La présidente ad interim : Fabienne GEISINGER-MARIETHOZ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