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C/22541/2017 vom 12. Juli 2018</w:t>
      </w:r>
    </w:p>
    <w:p>
      <w:r>
        <w:t>GE Cour de justice, 2018-07-12, FR</w:t>
      </w:r>
    </w:p>
    <w:p>
      <w:r>
        <w:rPr>
          <w:b/>
        </w:rPr>
        <w:t xml:space="preserve">Quelle: </w:t>
      </w:r>
      <w:r>
        <w:t>https://mcp.opencaselaw.ch/entscheid/ge_gerichte_C_22541_2017</w:t>
      </w:r>
    </w:p>
    <w:p>
      <w:r>
        <w:t>FR: GE_GERICHTE C/22541/2017 du 12 juillet 2018</w:t>
      </w:r>
    </w:p>
    <w:p>
      <w:r>
        <w:t>IT: GE_GERICHTE C/22541/2017 del 12 luglio 2018</w:t>
      </w:r>
    </w:p>
    <w:p>
      <w:pPr>
        <w:pStyle w:val="Heading2"/>
      </w:pPr>
      <w:r>
        <w:t>Regeste</w:t>
      </w:r>
    </w:p>
    <w:p>
      <w:r>
        <w:t>MAINLEVÉE DÉFINITIVE ; TITRE DE MAINLEVÉE ; OBLIGATION D'ENTRETIEN | LP.80.al1</w:t>
      </w:r>
    </w:p>
    <w:p>
      <w:pPr>
        <w:pStyle w:val="Heading2"/>
      </w:pPr>
      <w:r>
        <w:t>Erwägungen</w:t>
      </w:r>
    </w:p>
    <w:p>
      <w:r>
        <w:rPr>
          <w:b/>
        </w:rPr>
        <w:t>E. 1.1</w:t>
      </w:r>
    </w:p>
    <w:p>
      <w:r>
        <w:t>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Tribunal d'avoir rejeté sa requête sans examiner les arguments qu'elle avait développés concernant notamment la validité de la convention, dépourvue de ratification, et les violations de celle-ci commises par l'intimé. Cet examen aurait dû conduire le Tribunal à constater qu'elle était au bénéfice d'un titre de mainlevée et à faire droit à sa requête.</w:t>
      </w:r>
    </w:p>
    <w:p>
      <w:r>
        <w:rPr>
          <w:b/>
        </w:rPr>
        <w:t>E. 2.1</w:t>
      </w:r>
    </w:p>
    <w:p>
      <w:r>
        <w:t>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w:t>
      </w:r>
    </w:p>
    <w:p>
      <w:r>
        <w:rPr>
          <w:b/>
        </w:rPr>
        <w:t>E. 2.2</w:t>
      </w:r>
    </w:p>
    <w:p>
      <w:r>
        <w:t>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185 ).</w:t>
      </w:r>
    </w:p>
    <w:p>
      <w:r>
        <w:rPr>
          <w:b/>
        </w:rPr>
        <w:t>E. 2.3</w:t>
      </w:r>
    </w:p>
    <w:p>
      <w:r>
        <w:t>A teneur de l'art. 287 CC, les conventions relatives aux contributions d'entretien n'obligent l'enfant qu'après avoir été approuvées par l'autorité de protection de l'enfant (al. 1). Les contributions d'entretien fixées par convention peuvent être modifiées, à moins qu'une telle modification n'ait été exclue avec l'approbation de l'autorité de protection de l'enfant (al. 2). Les conventions conclues mais non (encore) approuvées sont des actes juridiques " boiteux " qui ne lient que l'une des parties, à savoir le seul débiteur d'entretien. Le défaut d'approbation ne peut donc être invoqué par le débiteur dès lors qu'il est lié dès la conclusion de la convention, indépendamment de l'approbation par l'autorité (PERRIN, in Commentaire Romand du Code civil I, 2010, n° 5 ad art. 287 CC). Tant que la ratification de la convention n'est pas intervenue, l'enfant ne dispose d'aucun droit à l'exécution de la convention. En revanche, le débiteur de la contribution est lié par son engagement, dès qu'il l'a souscrit. En cas d'approbation par l'autorité tutélaire, les effets de la convention remontent à la date de sa conclusion (ATF 126 III 49 , cons. 3 = SJ 2000 I p. 431).</w:t>
      </w:r>
    </w:p>
    <w:p>
      <w:r>
        <w:rPr>
          <w:b/>
        </w:rPr>
        <w:t>E. 2.4</w:t>
      </w:r>
    </w:p>
    <w:p>
      <w:r>
        <w:t>Dans le cas présent, les parties se sont entendues par convention pour réduire une contribution à l'entretien de leur enfant fixée par un jugement exécutoire, sans recourir à la voie d'une modification dudit jugement ni solliciter la ratification de leur accord. Par conséquent, une telle convention n'a acquis aucune force exécutoire envers l'enfant, au regard de l'art. 287 CC, de sorte qu'elle ne saurait donc être considérée comme un titre exécutoire pouvant faire obstacle à l'application d'un jugement définitif. Il s'ensuit que l'enfant, agissant comme en l'espèce par sa mère, a conservé le droit d'obtenir le versement complet de la pension d'entretien fixée judiciairement et c'est à tort que le Tribunal a refusé la mainlevée sollicitée. Il résulte par ailleurs du commandement de payer que la créance est suffisamment détaillée, en tant qu'elle porte sur la période du 1 er août 2013 au 1 er septembre 2017, période pour laquelle des mensualités de 200 fr. sont exigibles. Le jugement attaqué sera dès lors annulé et la mainlevée définitive formée au commandement de payer n° ______ sera prononcée.</w:t>
      </w:r>
    </w:p>
    <w:p>
      <w:r>
        <w:rPr>
          <w:b/>
        </w:rPr>
        <w:t>E. 3</w:t>
      </w:r>
    </w:p>
    <w:p>
      <w:r>
        <w:t>L'intimé, qui succombe,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 L'intimé sera condamné à verser 750 fr. à la recourante à titre de frais judiciaires. Il sera également condamné à verser à la recourante la somme de 750 fr. à titre de dépens de première instance et de recours. * * * * * PAR CES MOTIFS, La Chambre civile : A la forme : Déclare recevable le recours interjeté par A______ contre le jugement JTPI/4202/2018 rendu le 15 mars 2018 par le Tribunal de première instance dans la cause C/22541/2017-16 SML. Au fond : Annule ce jugement. Et, statuant à nouveau : Prononce la mainlevée définitive de l'opposition formée au commandement de payer, poursuite n° ______. Déboute les parties de toutes autres conclusions. Sur les frais : Met à la charge de B______ les frais judiciaires de première instance et de recours, arrêtés à 750 fr. et compensés avec les avances opérées, acquises à l'Etat de Genève. Condamne en conséquence B______ à verser à A______ 750 fr. Condamne B______ à verser 750 fr. à A______ à titre de dépens de première instance et de recours. Siégeant : Madame Fabienne GEISINGER-MARIETHOZ, présidente; Monsieur Laurent RIEBEN, juge; Monsieur Louis PEILA, juge suppléant; Madame Fatina SCHAERER, greffière. La présidente : Fabienne GEISINGER-MARIETHOZ La greffière : Fatina SCHAERER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