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C/22383/2012 vom 10. Februar 2014</w:t>
      </w:r>
    </w:p>
    <w:p>
      <w:r>
        <w:t>GE Cour de justice, 2014-02-10, FR</w:t>
      </w:r>
    </w:p>
    <w:p>
      <w:r>
        <w:rPr>
          <w:b/>
        </w:rPr>
        <w:t xml:space="preserve">Quelle: </w:t>
      </w:r>
      <w:r>
        <w:t>https://mcp.opencaselaw.ch/entscheid/ge_gerichte_C_22383_2012</w:t>
      </w:r>
    </w:p>
    <w:p>
      <w:r>
        <w:t>FR: GE_GERICHTE C/22383/2012 du 10 février 2014</w:t>
      </w:r>
    </w:p>
    <w:p>
      <w:r>
        <w:t>IT: GE_GERICHTE C/22383/2012 del 10 febbraio 2014</w:t>
      </w:r>
    </w:p>
    <w:p>
      <w:pPr>
        <w:pStyle w:val="Heading2"/>
      </w:pPr>
      <w:r>
        <w:t>Regeste</w:t>
      </w:r>
    </w:p>
    <w:p>
      <w:r>
        <w:t>RÉSILIATION; SOUS-LOCATION | CO.262; CO.257f.3; CO.18; CCR.8</w:t>
      </w:r>
    </w:p>
    <w:p>
      <w:pPr>
        <w:pStyle w:val="Heading2"/>
      </w:pPr>
      <w:r>
        <w:t>Erwägungen</w:t>
      </w:r>
    </w:p>
    <w:p>
      <w:r>
        <w:rPr>
          <w:b/>
        </w:rPr>
        <w:t>E. 2</w:t>
      </w:r>
    </w:p>
    <w:p>
      <w:r>
        <w:t>Saisie d'un appel, la Cour de justice revoit la cause avec un pouvoir d'examen complet, c'est-à-dire tant en fait qu'en droit. Elle n'est nullement liée par l'appréciation des faits à laquelle s'est livré le juge de première instance (Jeandin, Code de Procédure civile commenté, Bâle, 2011, n. 6 ad art. 310 CPC). S'agissant, en l'espèce, d'une procédure en annulation de congé introduite dans le délai légal de trente jours (art. 273 al. 1 CO), soumise à la procédure simplifiée en vertu de l'art. 243 al. 2 let. c CPC, la maxime inquisitoire sociale est en outre applicable (art. 247 al. 2 let a CPC).</w:t>
      </w:r>
    </w:p>
    <w:p>
      <w:r>
        <w:rPr>
          <w:b/>
        </w:rPr>
        <w:t>E. 3</w:t>
      </w:r>
    </w:p>
    <w:p>
      <w:r>
        <w:t>3.1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Le libellé de cette disposition légale est trop restrictif : le congé extraordinaire prévu par l'art. 257f al. 3 CO s'applique dans tous les cas où le locataire use de la chose en violation de la loi ou des stipulations du contrat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w:t>
      </w:r>
    </w:p>
    <w:p>
      <w:r>
        <w:rPr>
          <w:b/>
        </w:rPr>
        <w:t>E. 3.2</w:t>
      </w:r>
    </w:p>
    <w:p>
      <w:r>
        <w:t>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ou lorsqu'il laisse sans réponse une demande du sous-locataire de pouvoir sous-louer les locaux. L'art. 8 du contrat-cadre romand de baux à loyer qui dispose que le consentement du bailleur doit être écrit n'a en effet qu'une fonction de preuve (LACHAT, Le bail à loyer, Lausanne 2008, 2 ème éd., p. 571 et les réf. cit.; BISE/PLANAS, in Commentaire pratique du droit du bail à loyer, BOHNET/MONTINI [éd.], 2010, n° 26 s. ad art. 262 CO).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3.3</w:t>
      </w:r>
    </w:p>
    <w:p>
      <w:r>
        <w:t>Pour qu'une sous-location non autorisée puisse justifier une résiliation anticipée du bail en application de l'art. 257f al. 3 CO, il faut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Cet arrêt du 4 octobre 2010 traduit un durcissement de la position qui avait été celle des arrêts précédents en la matière, qui excluaient abus de droit et substitution détournée de locataires tant que le sous-bailleur n'avait pas perdu toute idée de reprendre l'usage de l'appartement en cause, même si ses intentions ne sont que vagues (cf. arrêts 4C.199/1994 du 11 octobre 1994, consid. 4c, publié in SJ 1995 p. 227; 4C.124/1999 du 6 octobre 1999, consid. 4a, b et c; 4C.155/2000 du 30 août 2000, consid. 2b et c, publié in SJ 2001 I p. 17). Dès lors, le sous-bailleur ne peut plus se contenter d'invoquer la perspective d'un évènement futur incertain pour justifier le maintien de la sous-location (arrêt du Tribunal fédéral 4A_367/2010 consid. 2.1 précité). Le fardeau de la preuve du bien-fondé d'un congé anticipé selon l'art. 257f CO incombe au bailleur ( ACJC/986/2007 ).</w:t>
      </w:r>
    </w:p>
    <w:p>
      <w:r>
        <w:rPr>
          <w:b/>
        </w:rPr>
        <w:t>E. 3.4</w:t>
      </w:r>
    </w:p>
    <w:p>
      <w:r>
        <w:t>En l'espèce, en appel, les locataires ne soutiennent plus, à juste titre, que la bailleresse aurait donné son consentement à la sous-location par l'intermédiaire de sa précédente régie, mais uniquement qu'elle en avait connaissance. Au vu du témoignage de I______, il n'est pas possible de retenir que le consentement aurait été donné par actes concluants, ce qui n'est d'ailleurs pas soutenu, et a fortiori établi, par les appelants. En effet, la régie contactait régulièrement les locataires, qui lui faisaient chaque fois part de leur intention de réintégrer le logement. Ceux-ci, selon la théorie de la confiance, ne pouvaient raisonnablement pas comprendre qu'ils avaient obtenu un accord sans condition à la sous-location, d'autant plus qu'ils avaient indiqué avoir mis le logement temporairement à la disposition de membres de leur famille. Tout au plus, devaient-ils de bonne foi comprendre que la bailleresse tolérait la remise provisoire à ceux-ci, au vu des assurances qu'ils lui fournissaient. Dans la mesure où la sous-location perdurait, la bailleresse était légitimée à fixer aux locataires un délai pour y mettre fin. Par lettre du 4 juillet 2012, la bailleresse a sommé en vain les locataires de mettre un terme à la sous-location, de sorte que la condition de la mise en demeure est réalisée. Par ailleurs, les locataires occupent actuellement un appartement de cinq pièces avec leurs trois enfants. Ils sous-louent le logement en question depuis pratiquement douze ans et exposent actuellement qu'ils souhaitent soit l'occuper à nouveau lorsque leur fille aînée, âgée de 14 ans, sera majeure, soit le mettre à la disposition de celle-ci à ce moment-là. Il s'agit d'événements futurs incertains, qui ne permettent pas de tolérer la sous-location. Le contraire reviendrait à laisser aux locataires le choix des occupants des locaux, en lieu et place de la propriétaire, ce qui n'est pas admissible. Ainsi, il apparaît que les locataires ont procédé en réalité à une substitution de locataires, de sorte que le bailleur pouvait refuser son consentement à la sous-location. En définitive, les conditions de l'article 257f al. 3 CO sont réalisées de sorte que le congé du 3 septembre 2012 est efficace. Le jugement attaqué sera ainsi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mars 2014 par A______ et B______ contre le jugement JTBL/146/2014 rendu le 10 février 2014 par le Tribunal des baux et loyers dans la cause C/22383/2012-2 OSB. Au fond : Confirme le jugement entrepris. Dit que la procédure est gratuite. Déboute les parties de toutes autres conclusions. Siégeant : Madame Nathalie LANDRY-BARTHE, présidente; Madame Sylvie DROIN et Monsieur Ivo BUETTI, juges; Madame Laurence CRUCHON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