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C/22371/2004 vom 22. Februar 2006</w:t>
      </w:r>
    </w:p>
    <w:p>
      <w:r>
        <w:t>GE Cour de justice, 2006-02-22, FR</w:t>
      </w:r>
    </w:p>
    <w:p>
      <w:r>
        <w:rPr>
          <w:b/>
        </w:rPr>
        <w:t xml:space="preserve">Quelle: </w:t>
      </w:r>
      <w:r>
        <w:t>https://mcp.opencaselaw.ch/entscheid/ge_gerichte_C_22371_2004</w:t>
      </w:r>
    </w:p>
    <w:p>
      <w:r>
        <w:t>FR: GE_GERICHTE C/22371/2004 du 22 février 2006</w:t>
      </w:r>
    </w:p>
    <w:p>
      <w:r>
        <w:t>IT: GE_GERICHTE C/22371/2004 del 22 febbraio 2006</w:t>
      </w:r>
    </w:p>
    <w:p>
      <w:pPr>
        <w:pStyle w:val="Heading2"/>
      </w:pPr>
      <w:r>
        <w:t>Regeste</w:t>
      </w:r>
    </w:p>
    <w:p>
      <w:r>
        <w:t>CONTRAT INDIVIDUEL DE TRAVAIL; CONVENTION COLLECTIVE DE TRAVAIL; EMPLOYÉ DE MAISON ; AUTORISATION DE TRAVAIL ; SALAIRE MINIMUM ; RÉSILIATION IMMÉDIATE ; INDEMNITÉ(EN GÉNÉRAL) ; INDEMNITÉ ÉQUITABLE | E et T, employée de maison d'origine philippine, ont convenu d'un salaire inférieur au salaire minimum prévu par le CTT de l'économie domestique, comme le permet ce contrat-type. Contrairement aux premiers juges, la Cour considère que les parties n'étaient pas libres de le faire, dès lors que si, comme elle en avait l'obligation, E avait requis une autorisation de travail de l'autorité administrative, celle-ci n'aurait pas manqué, en application de l'article 9 OLE, de fixer un salaire au moins égal au salaire minimum prévu par le CTT, que le juge est tenu d'établir en l'absence d'une telle autorisation. Pour le surplus, la Cour rappelle le large pouvoir d'appréciation du juge en matière de fixation de l'indemnité, punitive et réparatrice, de l'article 337c al. 3 CO. | OLE.9 ; CO.337C.al3 ; CO.342.al2</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ont été liées par un contrat de travail soumis au droit suisse et que la juridiction des prud’hommes est compétente.</w:t>
      </w:r>
    </w:p>
    <w:p>
      <w:r>
        <w:rPr>
          <w:b/>
        </w:rPr>
        <w:t>E. 3</w:t>
      </w:r>
    </w:p>
    <w:p>
      <w:r>
        <w:t>Le statut des travailleurs de l’économie domestique est régi à Genève par un Contrat-type (ci-après : CTT ; GE/J/50.03). Le CTT en vigueur à Genève a été élaboré en application de l'art. 359 al. 2 CO, selon lequel les cantons sont tenus d'édicter des contrats-types pour le service de maison notamment (arrêt du Tribunal fédéral non publié 4C.261/1999 du 28 janvier 2000, consid. 2a). Sauf accord contraire, le CTT s'applique directement aux rapports de travail qu'il régit (art. 360 al. 1 CO), peu importe que les parties en aient ou non eu connaissance (arrêt du Tribunal fédéral du 30 novembre 1998, in SJ 1999 I p. 161, consid. 1b). Ce CTT est donc applicable au cas d’espèce.</w:t>
      </w:r>
    </w:p>
    <w:p>
      <w:r>
        <w:rPr>
          <w:b/>
        </w:rPr>
        <w:t>E. 4</w:t>
      </w:r>
    </w:p>
    <w:p>
      <w:r>
        <w:t>L’appelante soutient que l’accord salarial convenu viole outrageusement l’art. 9 OLE, subsidiairement l’art. 21 CO, et qu’il ne saurait être question d’une rémunération inférieure à celle que prévoit le CTT, soit 3'300 fr. par mois jusqu’au 30 juin 2004 et 3'400 fr. dès le mois suivant.</w:t>
      </w:r>
    </w:p>
    <w:p>
      <w:r>
        <w:rPr>
          <w:b/>
        </w:rPr>
        <w:t>E. 4.1</w:t>
      </w:r>
    </w:p>
    <w:p>
      <w:r>
        <w:t>S’il est exact que le salaire minimum stipulé par le CTT applicable est bien celui qu’invoque l’appelante, il est toutefois mentionné, dans ce contrat-type, qu’il est possible d’y déroger par écrit. C’est ainsi que les parties ont procédé en l’espèce et elles ont donc, théoriquement et à la forme, valablement dérogé au CTT, s’agissant du salaire. Il convient néanmoins de vérifier si cette dérogation est compatible avec la jurisprudence du Tribunal fédéral relative aux art. 342 al. 2 CO et 9 OLE (RS 823.21).</w:t>
      </w:r>
    </w:p>
    <w:p>
      <w:r>
        <w:rPr>
          <w:b/>
        </w:rPr>
        <w:t>E. 4.2</w:t>
      </w:r>
    </w:p>
    <w:p>
      <w:r>
        <w:t>En tant qu’étrangère résidant en Suisse sans autorisation de séjour, l’appelante est soumise à l’Ordonnance fédérale limitant le nombre des étrangers (art. 2 al. 1 OLE). 4.3.1 Dans le but d'assurer la paix sociale en préservant les travailleurs suisses d'une sous enchère salariale et en protégeant les travailleurs étrangers eux-mêmes (ATF 129 III 618 consid. 6.1 p. 623), l'art. 9 al. 1 OLE prévoit que les autorisations d'employer un travailleur étranger ne peuvent être accordées que si l'employeur accorde à celui-ci les mêmes conditions de rémunération et de travail en usage dans la localité et la profession qu'il accorde aux Suisses et que si l'étranger est assuré de manière adéquate contre les conséquences économiques d'une maladie. Dans une jurisprudence bien établie, le Tribunal fédéral admet que cette règle déploie des effets de droit civil, dans le sens où elle oblige l'employeur de respecter les conditions qui assortissent l'autorisation délivrée, en particulier de verser le salaire approuvé par l'autorité administrative; le travailleur dispose alors d'une prétention qu'il peut faire valoir devant les juridictions civiles, conformément à l'art. 342 al. 2 CO; il en découle que la clause du contrat individuel de travail prévoyant un salaire inférieur au salaire fixé par l'autorité administrative compétente, en application de l'art. 9 OLE, est entachée de nullité de par la loi. Le juge civil est alors lié par les conditions de rémunération fixées concrètement dans l'autorisation administrative délivrée pour un emploi donné. Dès lors que la décision administrative est entrée en force, le travailleur a droit au salaire fixé et il n'y a plus à prendre en considération ni accord individuel ni convention collective, et il importe peu que la rémunération contractuelle, bien qu'inférieure au salaire fixé par l'autorité administrative, dépasse le salaire usuel dans la branche pour l'emploi considéré (ATF 129 III 618 consid. 5.1 p. 621 s. et les références citées). 4.3.2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 compétence propre,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(arrêt 4P.256/2004 du 26 janvier 2005, consid. 2.4.1 et la référence citée). Inversement, le juge doit suivre celles auxquelles la loi confère un caractère obligatoire pour lui, ce qui est le cas de l'art. 9 OLE, tel que l'interprète la jurisprudence susmentionnée du Tribunal fédéral, selon laquelle le juge civil est lié par les conditions salariales déterminées concrètement dans l'autorisation administrative (ATF 129 III 618 consid. 5.1 p. 621; plus récemment arrêt 4P.256/2004 du 26 janvier 2005, consid. 2.4.2).</w:t>
      </w:r>
    </w:p>
    <w:p>
      <w:r>
        <w:rPr>
          <w:b/>
        </w:rPr>
        <w:t>E. 4.4</w:t>
      </w:r>
    </w:p>
    <w:p>
      <w:r>
        <w:t>En ce qui concerne la rémunération, il faut souligner que, comme la prise d'emploi de l’appelante en Suisse est soumise à une autorisation administrative, la liberté contractuelle des parties relative à la fixation du salaire s'en trouve limitée (cf. WYLER, Droit du travail, Berne 2002, p. 110; STAEHELIN, Commentaire zurichois, n. 16 ad art. 342 CO). En revanche, lorsque le salarié n’est pas en possession d’une autorisation de travail, les tribunaux civils doivent déterminer le montant qu’aurait fixé l’autorité administrative sur la base de l’art. 9 OLE (ATF 122 III 110 , consid. 4 e ; AUBERT, Commentaire Romand, N° 5 ad art. 342 C=). Il ne saurait en conséquence être admis que l’engagement d’un employé domestique en violation du droit administratif ouvre de plus grande faculté de négociations aux parties, notamment en l’occurrence à la partie supposée forte, que lorsqu’elles agissent en respect de la législation en cours. Dès lors, si l’intimée avait, comme elle en avait l’obligation, sollicité une autorisation administrative pour engager l’appelante, nul doute que celle-ci lui eût été délivrée moyennant un strict respect des conditions salariales minimales. Ce sont donc celles-ci qui seront appliquées, soit 3'300 fr. par mois jusqu’en juin 2004 et 3'400 fr. au-delà.</w:t>
      </w:r>
    </w:p>
    <w:p>
      <w:r>
        <w:rPr>
          <w:b/>
        </w:rPr>
        <w:t>E. 4.5</w:t>
      </w:r>
    </w:p>
    <w:p>
      <w:r>
        <w:t>Ainsi, le salaire total que l’appelante aurait dû recevoir s’élève à 18'350 fr., soit 3 mois et demi à 3'300 fr., un mois à 3'400 fr. et 2 mois à 1'700 fr., puisque l’appelante a sollicité, et obtenu, que son temps de travail soit réduit à 50% dès août 2004, modification qui vaut également pour le mois de septembre, le congé immédiat notifié en août étant frappé d’invalidité. Il sera brièvement relevé, en raison de l’absence d’appel incident, que cette constatation des premiers juges est adéquate au vu de la nature des fautes reprochées et de l’absence d’avertissement. Ayant perçu effectivement 9’550 fr., l’appelante a donc droit à un solde de salaire de 8'800 fr. dont il convient de déduire les prestations en nature, soit les frais de repas, admis à concurrence de 1'053 fr. Le solde restant dû s’élève dès lors à 7'747 fr. et la décision querellée sera modifiée en conséquence. La Cour retient que la modification des relations de travail est intervenue dès août 2004. En effet, cela ressort des propos convergents de B_______ et d’E________, alors que T________, qui prétend avoir été contrainte d’accepter ce fait, n’a rien démontré. En outre, compte tenu de ses propres hésitations concernant son accident d’août 2004, à savoir qu’elle se serait blessée en soulevant un frigo puis, alors qu’il lui était indiqué que tout l’appareillage de la cuisine était encastré, que c’était en nettoyant la moquette, on ne peut accorder qu’un crédit limité à ses déclarations.</w:t>
      </w:r>
    </w:p>
    <w:p>
      <w:r>
        <w:rPr>
          <w:b/>
        </w:rPr>
        <w:t>E. 5</w:t>
      </w:r>
    </w:p>
    <w:p>
      <w:r>
        <w:t>L’appelante conteste le montant de l’indemnité de licenciement immédiat injustifié fixé par les premiers juges et sollicite le versement de 3'203 fr. A défaut d’appel incident, il y a lieu de retenir d’une part que le licenciement immédiat était injustifié et, d’autre part, que le principe du versement d’une indemnité est admis, de même que le montant de 1'253 fr. arrêté par le Tribunal. Seul ce montant, contesté par l’appelante doit donc être examiné.</w:t>
      </w:r>
    </w:p>
    <w:p>
      <w:r>
        <w:rPr>
          <w:b/>
        </w:rPr>
        <w:t>E. 5.1</w:t>
      </w:r>
    </w:p>
    <w:p>
      <w:r>
        <w:t>Selon l'art. 337c al. 3 CO,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n'étant décisif en lui-même (ATF 123 III 391 consid. 3b/bb; 121 III 64 consid. 3c; 120 II 243 consid. 3e). L'indemnité, qui ne peut dépasser le montant correspondant à six mois de salaire du travailleur, a une double finalité, punitive et réparatrice (ATF 123 III 391 consid. 3c). S'agissant de la quotité de cette indemnité, le juge possède, de par la loi (art. 4 CC), un large pouvoir d'appréciation. Les décisions rendues en vertu d'un tel pouvoir d'appréciation ne doivent pas aboutir à un résultat manifestement injuste ou à une iniquité choquante (ATF 121 III 64 consid. 3c et les arrêts cités). Le Tribunal fédéral a longtemps jugé que, sauf circonstances particulières, l'indemnité est due dans tous les cas de licenciement immédiat injustifié (ATF 121 III 64 consid. 3c; 120 II 243 consid. 3e p. 247; 116 II 300 consid. 5a). Les exceptions doivent être fondées sur les circonstances de chaque cas particulier; elles supposent l'absence de faute de l'employeur ou d'autres motifs qui ne sauraient être mis à sa charge (ATF 116 II 300 consid. 5a).</w:t>
      </w:r>
    </w:p>
    <w:p>
      <w:r>
        <w:rPr>
          <w:b/>
        </w:rPr>
        <w:t>E. 5.2</w:t>
      </w:r>
    </w:p>
    <w:p>
      <w:r>
        <w:t>En l’espèce, eu égard d’une part à l’attitude de l’appelante, qui n’a pas porté durant son activité tout le soin qu’elle devait à la garde d’un jeune enfant, commettant ainsi des fautes qui, si elles ne justifiaient pas un licenciement immédiat, constituaient néanmoins de graves manquements à ses obligations, emportant une violation son devoir de fidélité et, d’autre part, à celle de l’intimée, confrontée à une situation qui mettait en cause la confiance en la personne censée protéger son enfant, qui n’a commis d’autre faute que celle de licencier immédiatement son employée, la Chambre d’appel considère, avec les premiers juges, que l’appelante n’a droit qu’à une indemnité de faible importance, le montant arrêté en première instance étant dès lors confirmé.</w:t>
      </w:r>
    </w:p>
    <w:p>
      <w:r>
        <w:rPr>
          <w:b/>
        </w:rPr>
        <w:t>E. 6</w:t>
      </w:r>
    </w:p>
    <w:p>
      <w:r>
        <w:t>La valeur litigieuse étant inférieure à 30'000 fr., aucun émolument ne sera perçu.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