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C/22294/2020 vom 13. Oktober 2021</w:t>
      </w:r>
    </w:p>
    <w:p>
      <w:r>
        <w:t>GE Cour de justice, 2021-10-13, FR</w:t>
      </w:r>
    </w:p>
    <w:p>
      <w:r>
        <w:rPr>
          <w:b/>
        </w:rPr>
        <w:t xml:space="preserve">Quelle: </w:t>
      </w:r>
      <w:r>
        <w:t>https://mcp.opencaselaw.ch/entscheid/ge_gerichte_C_22294_2020</w:t>
      </w:r>
    </w:p>
    <w:p>
      <w:r>
        <w:t>FR: GE_GERICHTE C/22294/2020 du 13 octobre 2021</w:t>
      </w:r>
    </w:p>
    <w:p>
      <w:r>
        <w:t>IT: GE_GERICHTE C/22294/2020 del 13 ottobre 2021</w:t>
      </w:r>
    </w:p>
    <w:p>
      <w:pPr>
        <w:pStyle w:val="Heading2"/>
      </w:pPr>
      <w:r>
        <w:t>Regeste</w:t>
      </w:r>
    </w:p>
    <w:p>
      <w:r>
        <w:t>Cst.29.al2; LP.82; CO.23; CO.24.al1.ch4; C0.119.al1; CC.2.al2</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 recours est recevable pour violation du droit et pour constatation manifestement inexacte des faits (art. 320 CPC).</w:t>
      </w:r>
    </w:p>
    <w:p>
      <w:r>
        <w:rPr>
          <w:b/>
        </w:rPr>
        <w:t>E. 2</w:t>
      </w:r>
    </w:p>
    <w:p>
      <w:r>
        <w:t>La recourante se plaint d'une violation de son droit d'être entendue.</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 là, à prévenir une décision arbitraire (ATF 112 Ia 107 consid. 2b p. 109; voir aussi ATF 129 I 232 consid. 3.2 p. 236; 126 I 97 consid. 2b p. 102).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Les exigences minimales de motivation déduites de l’art. 29 al. 2 Cst. valent également pour les décisions rendues en procédure sommaire (ATF 134 I 83 consid. 4). Le droit d'être entendu comprend notamment le droit de se déterminer sur toute argumentation présentée au tribunal par la partie adverse, indépendamment du fait que celle-ci contienne ou non des éléments nouveaux et importants (ATF 139 I 189 consid. 3.2; 138 I 484 consid. 2.1; 137 I 195 consid. 2; arrêt du Tribunal fédéral 5A_82/2015 du 16 juin 2015 consid. 4.1) et de s'expliquer avant qu'une décision ne soit prise à son détriment, le droit de s'expliquer sur tous les points importants avant qu'un décision soit prise valant sans restriction pour les questions de fait (arrêt du Tribunal fédéral 5A_475/2011 du 12 décembre 2011 consid. 7.1.1).</w:t>
      </w:r>
    </w:p>
    <w:p>
      <w:r>
        <w:rPr>
          <w:b/>
        </w:rPr>
        <w:t>E. 2.2</w:t>
      </w:r>
    </w:p>
    <w:p>
      <w:r>
        <w:t>En l'espèce, le premier juge a, par erreur, fait mention dans sa décision de déterminations "de la partie requérante du 9 avril 2021", alors que l'intimée n'a pas déposé de déterminations en première instance. Pour le surplus,la question de savoir si le Tribunal s'est ou non prononcé sur la qualification du contrat telle qu'alléguée par la recourante, soit un contrat de société simple, peut demeurer ouverte, la Cour disposant d'un plein pouvoir d'examen en droit. Cette question sera ainsi examinée ci-après.</w:t>
      </w:r>
    </w:p>
    <w:p>
      <w:r>
        <w:rPr>
          <w:b/>
        </w:rPr>
        <w:t>E. 3</w:t>
      </w:r>
    </w:p>
    <w:p>
      <w:r>
        <w:t>Invoquant une constatation manifestement inexacte des faits, soit arbitraire, la recourante fait grief au premier juge d'avoir considéré que les pièces produites valaient reconnaissance de dette, et partant titre de mainlevée provisoire.</w:t>
      </w:r>
    </w:p>
    <w:p>
      <w:r>
        <w:rPr>
          <w:b/>
        </w:rPr>
        <w:t>E. 3.1</w:t>
      </w:r>
    </w:p>
    <w:p>
      <w:r>
        <w:t>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Code de procédure civile commenté, 2011,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3.2</w:t>
      </w:r>
    </w:p>
    <w:p>
      <w:r>
        <w:t>En l'espèce, la recourante soutient que l'intimée lui aurait garanti une certaine affluence au concert ainsi qu'un bénéfice résultant de cette manifestation, élément essentiel du contrat, ce que l'intimée conteste. Le Tribunal n'a pas établi les faits de manière arbitraire. Autre est la question de savoir si la recourante a rendu vraisemblable un vice de consentement ou une autre raison permettant de retenir une invalidation du contrat conclu entre les parties. Ces points seront traités ci-après.</w:t>
      </w:r>
    </w:p>
    <w:p>
      <w:r>
        <w:rPr>
          <w:b/>
        </w:rPr>
        <w:t>E. 4</w:t>
      </w:r>
    </w:p>
    <w:p>
      <w:r>
        <w:t>4.1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 SJ 2004 I 209 consid. 3.1; arrêt du Tribunal fédéral 5P.290/2006 du 12 octobre 2006 consid. 3.1.2).</w:t>
      </w:r>
    </w:p>
    <w:p>
      <w:r>
        <w:rPr>
          <w:b/>
        </w:rPr>
        <w:t>E. 4.2</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arrêts du Tribunal fédéral 5A_648/2018 du 25 février 2019 consid. 3.2.1; 5A_89/2019 du 1er mai 2019 consid. 5.1.3, publié in SJ 2019 I p. 400; 5A_867/2018 du 4 mars 2019 consid. 4.1.3).</w:t>
      </w:r>
    </w:p>
    <w:p>
      <w:r>
        <w:rPr>
          <w:b/>
        </w:rPr>
        <w:t>E. 4.3</w:t>
      </w:r>
    </w:p>
    <w:p>
      <w:r>
        <w:t>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w:t>
      </w:r>
    </w:p>
    <w:p>
      <w:r>
        <w:rPr>
          <w:b/>
        </w:rPr>
        <w:t>E. 4.4</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Le juge de la mainlevée n'intervient en principe pas d'office mais ne statue que sur le moyen soulevé par le poursuivi. Seuls les faits doivent être rendus vraisemblables par le poursuivi, le juge examinant d'office le bien-fondé juridique des moyens libératoires, selon le principe jura novit curia . Le Tribunal fédéral admet toutefois que, lorsqu'il statue sur la base de faits rendus simplement vraisemblables, le juge se contente d'un examen sommaire du droit.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op. cit., n. 107, 108 et 110 ad art. 82 LP).</w:t>
      </w:r>
    </w:p>
    <w:p>
      <w:r>
        <w:rPr>
          <w:b/>
        </w:rPr>
        <w:t>E. 4.5</w:t>
      </w:r>
    </w:p>
    <w:p>
      <w:r>
        <w:t>Selon l'art. 23 CO, le contrat n'oblige pas celle des parties qui, au moment de conclure, était dans une erreur essentielle. En vertu de l'art. 24 al. 1 ch. 4 CO, l'erreur est essentielle notamment lorsqu'elle porte sur des faits que la loyauté commerciale permettait à celui qui se prévaut de son erreur de considérer comme des éléments nécessaires du contrat. Ainsi, il faut tout d'abord que l'erreur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(ATF 136 III 528 consid. 3.4.1; arrêt du Tribunal fédéral 4A_249/2017 du 8 décembre 2017 consid 3.2). Selon la jurisprudence du Tribunal fédéral,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(Veuillet, op. cit., n. 122 ad art. 82 LP; Staehelin, in Basler Kommentar, SchKG I, 2ème éd. 2010, n. 97 ad art. 82 LP). A moins qu'elles ne soient corroborées par des pièces qui accréditent la thèse soutenue, les simples allégations d'une partie n'ont à cet égard aucune valeur probante, même au niveau de la vraisemblance (arrêts du Tribunal fédéral 5A_773/2020 du 22 décembre 2020 consid. 3.2; 5A_225/2010 du 2 novembre 2010 consid. 3.2 non publié aux ATF 136 III 583 ; Gilliéron, op. cit., p. 199 n. 786).</w:t>
      </w:r>
    </w:p>
    <w:p>
      <w:r>
        <w:rPr>
          <w:b/>
        </w:rPr>
        <w:t>E. 4.6</w:t>
      </w:r>
    </w:p>
    <w:p>
      <w:r>
        <w:t>Selon l'art. 119 al. 1 CO, l'obligation s'éteint lorsque l'exécution en devient impossible par suite de circonstances non imputables au débiteur.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Certains auteurs distinguent également selon que l'impossibilité est objective, c'est-à-dire que ni le débiteur ni des tiers ne sont en mesure d'effectuer la prestation contractuelle (Pichonnaz, Impossibilité et exorbitance, thèse Fribourg 1997, n. 325 et les références; Thévenoz, Commentaire romand, 2ème éd. 2012, n. 4 ad art. 119 CO) ou subjective, lorsqu'une prestation devient impossible parce qu'elle se heurte à un obstacle insurmontable pour le débiteur (Pichonnaz, op. cit., n. 340; contre cette distinction: cf. von Tuhr/Escher, Allgemeiner Teil des Schweizerischen Obligationenrechts, Band II, 3ème éd., 1974, par. 68 p. 94; cf. aussi Aepli, Commentaire zurichois, 3ème éd., 1991, n. 49 ad art. 119 CO, qui exclut les cas d'impossibilité subjective du champ d'application de l'art. 119 CO). Le Tribunal fédéral adopte quant à lui une position plutôt large (ATF 126 III 75 consid. 2 b et c; 116 II 512 consid. 2; 82 II 332 consid. 5; 57 II 532 consid. 1; arrêt du Tribunal fédéral 4C.378/2000 du 5 mars 2001 in SJ 2001 I 445, consid 3b).</w:t>
      </w:r>
    </w:p>
    <w:p>
      <w:r>
        <w:rPr>
          <w:b/>
        </w:rPr>
        <w:t>E. 4.7</w:t>
      </w:r>
    </w:p>
    <w:p>
      <w:r>
        <w:t>Constitue une exception au principe de la fidélité contractuelle l'application de la théorie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122 III 97 consid. 3a in JdT 1997 I 294). Lié par les conclusions des parties, le juge doit rechercher la volonté hypothétique des parties, en déterminant la solution qu'elles auraient adoptée de bonne foi si elles avaient prévu la modification des circonstances au moment de la conclusion du contrat (Tercier/ Pichonnaz, Le droit des obligations, 5ème éd., 2012, n. 979b).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4.8</w:t>
      </w:r>
    </w:p>
    <w:p>
      <w:r>
        <w:t>En l'espèce, les parties ont signé, le 4 février 2020, un contrat d'engagement, aux termes duquel la recourante s'est engagée à verser à l'intimée la somme de 15'000 fr. pour le concert en cause. Il est constant que ledit concert a eu lieu. Ce contrat vaut, comme l'a retenu à bon droit le premier juge, reconnaissance de dette et partant titre de mainlevée provisoire. La recourante soutient avoir immédiatement rendu vraisemblable sa libération, en raison de l'invalidation du contrat d'engagement. Pour fonder son invalidation, elle se prévaut d'une erreur essentielle, soit la garantie par l'intimée de l'affluence, et partant des bénéfices résultant de l'organisation dudit concert. Ce raisonnement ne saurait être suivi. En effet, le contrat conclu par les parties ne comporte aucune réserve s'agissant du prix convenu de 15'000 fr., ni de réduction de celui-ci. Les allégations de la recourante en lien avec l'erreur essentielle qu'elle invoque se fondent uniquement sur les courriels qu'elle a adressés à l'intimée. Il ne résulte pas des échanges de courriers électroniques intervenus entre les parties avant la conclusion du contrat que l'intimée aurait donné des garanties à la recourante quant à l'affluence au concert. Par courriel du 9 mai 2019, la recourante a signifié à l'intimée qu'elle prenait le risque de lui garantir le montant de 15'000 fr. et qu'il convenait à son sens dans un deuxième temps, une fois le concert donné, d'examiner les éventuels bénéfices en résultant, ainsi que la répartition de ceux-ci. La recourante a également fait état d'un scénario "plausible, à savoir celui d'une affluence d'environ 1000 personnes". L'absence alléguée de trésorerie de la recourante et le fait qu'elle soit une association à but non lucratif ne permettent pas non plus de retenir que l'intimée aurait assuré à la recourante un nombre minimum de spectateurs. Au vu des éléments qui précèdent, la recourante n'a pas rendu vraisemblable s'être trouvée dans une erreur essentielle. La recourante se prévaut également de l'impossibilité subséquente non fautive. Tel n'est toutefois pas le cas en l'espèce dès lors que le concert a eu lieu. Par ailleurs, le fait que la pandémie de COVID-19 était sur le point de se répandre en Suisse ne saurait fonder une impossibilité pour la recourante d'exécuter sa propre prestation, soit le paiement du concert. En effet, les éventuelles recettes étaient liées au concert lui-même. La recourante n'a ainsi pas non plus rendu vraisemblable une impossibilité subséquente. Pour le surplus, la recourante n'est pas fondée à se prévaloir de la théorie de l'imprévision dans la mesure où le contrat conclu ne portait que sur un concert et n'était en conséquence pas un contrat de durée. En tout état, si le premier cas de contamination a été découvert en Suisse le 25 février 2020, la recourante ne rend pas vraisemblable que "le public réfléchissait à deux fois avant de se rendre à un concert d'une telle ampleur". En effet, cette allégation n'est corroborée par aucun élément du dossier. La recourante n'a par ailleurs ni allégué ni a fortiori démontré que des spectateurs auraient renoncé à se rendre au concert, pour ce motif. Avec le Tribunal, la Cour retient qu'au jour du concert, soit le ______ 2020, aucune mesure n'avait été prise par les autorités, qu'elles soient fédérales ou cantonales. Enfin, la Cour ne discerne pas d'abus de droit de l'intimée.</w:t>
      </w:r>
    </w:p>
    <w:p>
      <w:r>
        <w:rPr>
          <w:b/>
        </w:rPr>
        <w:t>E. 4.9</w:t>
      </w:r>
    </w:p>
    <w:p>
      <w:r>
        <w:t>Entièrement infondé, le recours sera rejeté.</w:t>
      </w:r>
    </w:p>
    <w:p>
      <w:r>
        <w:rPr>
          <w:b/>
        </w:rPr>
        <w:t>E. 5</w:t>
      </w:r>
    </w:p>
    <w:p>
      <w:r>
        <w:t>5.1 Les frais judicaires du recours, arrêtés à 600 fr. (art. 48 et 61 OELP) seront mis à la charge de la recourante, qui succombe (art. 106 al. 1 CPC), et compensés avec l'avance fournie par elle, qui reste acquise à l'Etat de Genève (art. 111 al. 1 CPC).</w:t>
      </w:r>
    </w:p>
    <w:p>
      <w:r>
        <w:rPr>
          <w:b/>
        </w:rPr>
        <w:t>E. 5.2</w:t>
      </w:r>
    </w:p>
    <w:p>
      <w:r>
        <w:t>Au regard de la complexité de la cause, des griefs invoqués par la recourante ainsi que de l'ampleur de l'activité nécessaire de l'intimée, la recourante sera condamnée à verser à l'intimée la somme de 1'500 fr. à titre de dépens de recours, débours et TVA compris, (art. 84, 85, 88 et 90 RTFMC; art. 23, 25 et 26 LaCC). * * * * * PAR CES MOTIFS, La Chambre civile : A la forme : Déclare recevable le recours interjeté le 28 juin 2021 par A______ contre le jugement JTPI/7735/2021 rendu le 14 juin 2021 par le Tribunal de première instance dans la cause C/22294/2020-17 SML. Au fond : Le rejette. Déboute les parties de toutes autres conclusions. Sur les frais : Arrête les frais judiciaires du recours à 600 fr., compensés avec l'avance de frais fournie, acquise à l'Etat de Genève, et les met à la charge de A______. Condamne A______ à verser à FONDATION B______ la somme de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