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C/2214/2014 vom 11. November 2015</w:t>
      </w:r>
    </w:p>
    <w:p>
      <w:r>
        <w:t>GE Cour de justice, 2015-11-11, FR</w:t>
      </w:r>
    </w:p>
    <w:p>
      <w:r>
        <w:rPr>
          <w:b/>
        </w:rPr>
        <w:t xml:space="preserve">Quelle: </w:t>
      </w:r>
      <w:r>
        <w:t>https://mcp.opencaselaw.ch/entscheid/ge_gerichte_C_2214_2014</w:t>
      </w:r>
    </w:p>
    <w:p>
      <w:r>
        <w:t>FR: GE_GERICHTE C/2214/2014 du 11 novembre 2015</w:t>
      </w:r>
    </w:p>
    <w:p>
      <w:r>
        <w:t>IT: GE_GERICHTE C/2214/2014 del 11 novembre 2015</w:t>
      </w:r>
    </w:p>
    <w:p>
      <w:pPr>
        <w:pStyle w:val="Heading2"/>
      </w:pPr>
      <w:r>
        <w:t>Regeste</w:t>
      </w:r>
    </w:p>
    <w:p>
      <w:r>
        <w:t>ADMINISTRATION DES PREUVES ; DÉCISION ; DROIT D'ÊTRE ENTENDU | CPC.154; CPC.319; CPC.53; CPC.221</w:t>
      </w:r>
    </w:p>
    <w:p>
      <w:pPr>
        <w:pStyle w:val="Heading2"/>
      </w:pPr>
      <w:r>
        <w:t>Erwägungen</w:t>
      </w:r>
    </w:p>
    <w:p>
      <w:r>
        <w:rPr>
          <w:b/>
        </w:rPr>
        <w:t>E. 12</w:t>
      </w:r>
    </w:p>
    <w:p>
      <w:r>
        <w:t>mars 2015 (ch. 10) et dit que les parties n'avaient pas à produire d'écritures spontanées, dès lors que les débats principaux avaient été déclarés ouverts (ch. 11). Il a réservé le sort des frais et dit qu'il n'était pas alloué de dépens (ch. 12 et 13). En substance et sur ordonnance d'instruction, le Tribunal a retenu que la réponse à la demande reconventionnelle n'avait pas été modifiée conformément aux exigences de l'art. 221 CPC, de sorte qu'elle était irrecevable. C. a. Par acte expédié le 9 juillet 2015 au greffe de la Cour de justice, A______ forme recours contre cette ordonnance, dont il sollicite l'annulation des chiffres 10 et 11. Cela fait, il conclut à ce qu'il soit dit que le mémoire de réponse à la demande reconventionnelle formulée le 12 mars 2015 est recevable, et à la condamnation de l'Etat de Genève en tous les frais et dépens. Subsidiairement, il conclut au renvoi de la cause au Tribunal pour qu'il rende une nouvelle ordonnance d'instruction. b. Par écriture du 25 juin 2015, B______ conclut à ce qu'il soit constaté qu'elle s'en rapporte à justice concernant les conclusions du recours déposé par A______, et subsidiairement, si la Cour devait considérer que le mémoire réponse à la demande reconventionnelle est recevable, au renvoi de la cause au Tribunal pour qu'il lui accorde un délai pour prendre position sur les nouveaux faits allégués par A______ dans son mémoire réponse du 12 mars 2015, le tout sous suite de frais et dépens. c. Les parties ont été informées par courrier du greffe de la Cour du 15 septembre 2015 de ce que la cause était gardée à juger. EN DROIT 1.             1.1 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Bohnet/Haldy/Jeandin/Schweizer/ [éd.], 2011, n. 10, 14 et 15 ad art. 319 CPC; Tappy, in CPC commenté précité, n. 15 ad art. 229 CPC). ![endif]&gt;![if&gt;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1.2 En l'espèce, le recours a été introduit dans les délai et forme prescrits par la loi (art. 130, 131 et 321 CPC). Il est recevable à cet égard. 2. Le recourant se plaint d'une violation de son droit d'être entendu, laquelle lui causerait un dommage irréparable. 2.1.1 La notion de "préjudice difficilement réparable" est plus large que celle de "préjudice irréparable" au sens de l'art. 93 al. 1 let. a LTF (ATF 137 III 380 consid. 2,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p. 429 et 133 III 629 consid. 2.3.1 p. 632). 2.1.2 Si une demande reconventionnelle est introduite, le tribunal fixe un délai au demandeur pour déposer une réponse écrite (art. 224 al. 3 CPC). Cette écriture pourra soit intervenir comme dernière écriture avant des débats d'instruction ou la convocation aux débats principaux, soit se confondre avec la réplique si le tribunal ou le juge chargé de la conduite du procès décide d'ordonner un deuxième échange d'écritures. Dans le premier cas, il n'y a pas grand sens à limiter le droit du demandeur à répondre à la demande reconventionnelle sans compléter sa propre demande, puisque de toute façon il peut encore librement introduire des faits et preuves complémentaires dans le cadre de son "droit à une deuxième chance" (tappy, in CPC, op. cit., n. 25 ad art. 224). L'art. 221 CPC, qui prévoit notamment que la demande doit contenir les allégations de fait et l'indication, pour chaque allégation des moyens de preuves proposés (art. 221 al. 1 let. d et e CPC), s'applique par analogie à la réponse. Le tribunal fixe un délai pour la rectification des acte illisibles, inconvenants, incompréhensibles ou prolixes (art. 132 al. 2 CPC). Seule une présentation désordonnée ou excessivement compacte devrait justifier un renvoi à son auteur pour rectification (art. 132 CPC). La question essentielle est la praticabilité de l'acte: l'adversaire peut-il prendre position sur la demande au vu de sa présentation formelle et le juge peut-il instruire la cause sur cette base (RSPC 2011, 169)? Le formalisme excessif est un aspect particulier du déni de justice prohibé par l'art. 29 al. 1 de la Constitution fédérale de la Confédération suisse du 18 avril 1999 (Cst., RS 101) et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2.1.3 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(ATF 138 I 154 consid. 2.3.3; 137 I 195 consid 2.3.1). Il appartient à la partie concernée et non au juge de décider si l'argumentation présentée contient des éléments déterminants qui appellent des observations. Concrètement, le juge peut décider d'ordonner un nouvel échange d'écritures, fixer formellement un délai pour déposer d'éventuelles déterminations, ou simplement transmettre la prise de position pour information.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4.6 et 4.8; 133 I 98 consid 2.2; 132 I 42 consid. 3.3.2 et 3.3.4; arrêts du Tribunal fédéral 5A_263/2013 du 13 août 2013 consid 2.2; 4A_660/2012 du 18 avril 2013 consid. 2.2. in RSPC 2013 p. 290 n. 1335; 4A_680/2012 du 7 mars 2013 consid. 2.2). La partie qui n'a pas eu l'occasion de se déterminer sur les allégués de la partie ayant déposé la dernière écriture, doit aussi pouvoir formuler ses déterminations (ce sera généralement des déterminations du demandeur sur la réponse ou la duplique du défendeur, ou des déterminations du défendeur sur la réponse à une demande reconventionnelle si le juge n'a pas ordonné de deuxième échange d'écritures) (tappy, in CPC, op. cit., n. 22 ad art. 229 CPC). Le droit d'obtenir une décision motivée découle du droit d'être entendu (art. 29 al. 2 Cst.).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limiter à ceux qui, sans arbitraire, apparaissent pertinents (ATF 124 II 146 consid. 2 p. 149). Il faut, du point de vue de la motivation de la décision, que les parties puissent se rendre compte de la portée à leur égard et, le cas échéant, recourir contre elle en connaissance de cause (ATF 133 III 439 consid. 33 = JT 2008 I 4 ). Le droit d'être entendu est une garantie constitutionnelle de caractère formel, dont la violation entraîne en principe l'annulation de la décision attaquée, indépendamment des chances de succès du recours au fond (ATF 137 I 195 c. 2.2, SJ 2011 I 345). 2.2 En l'espèce, le Tribunal a fixé au recourant un délai pour se déterminer sur la demande reconventionnelle de l'intimée. Le 12 mars 2015, après que sa première écriture du 24 février 2015 qui ne figure pas au dossier lui a été retournée pour modification, le recourant a déposé sa réponse. Celle-ci comprend des allégués de fait, numérotés, avec offre des moyens de preuve pour chaque allégué. L'ordonnance querellée n'explique pas en quoi l'écriture du 12 mars 2015 ne répond pas aux exigences de l'art. 221 al. 1 let. d et e, violant le droit du recourant à obtenir une décision motivée. Cela étant, cette écriture répond à la demande reconventionnelle et comprend des allégués complémentaires, admissibles à ce stade de la procédure, soit avant les débats d'instruction et l'ouverture des débats principaux. Sa formulation permet à l'intimée de prendre position. Elle ne constitue aucunement une écriture spontanée, puisque déposée dans le délai imparti par le Tribunal. Dans la mesure où le premier juge a déclaré cette écriture irrecevable à l'ouverture de l'audience de débats d'instruction du 9 juin 2015, on ignore si l'intimée en a eu connaissance et si elle a dès lors eu l'occasion de se déterminer sur son contenu. Il est enfin surprenant que le Tribunal ait admis l'audition de témoins portant sur des allégués figurant dans l'écriture qu'il a en même temps déclarée irrecevable. Les irrégularités susdécrites emportent violation du droit d'être entendu des parties et relèvent du formalisme excessif, de sorte que l'ordonnance querellée sera annulée, s'agissant de ses chiffres 10 et 11, sans qu'il y ait lieu d'examiner davantage si celle-ci cause un dommage irréparable au recourant. Le mémoire du 12 mars 2015 sera déclaré recevable (art. 327 al. 3 let. b CPC). L'intimée devra avoir l'occasion de se déterminer sur son contenu, cas échéant par l'ordonnance d'un second échange d'écritures (art. 225 CPC). S'il l'estime nécessaire, le Tribunal pourra modifier ou compléter son ordonnance de preuves du 29 juin 2015 (art. 154 CPC). 3. Les frais du recours seront laissés à la charge de l'Etat (art. 107 al. 2 CPC). Il n'est pas alloué de dépens (art. 22 al. 2 LaCC). * * * * * PAR CES MOTIFS, La Chambre des prud'hommes, groupe 1 : A la forme : Déclare recevable le recours formé par A______ contre l'ordonnance d'instruction rendue par le Tribunal des prud'hommes le 29 juin 2015. Au fond : L'admet. Annule les chiffres 10 et 11 du dispositif de ladite ordonnance. Cela fait, statuant à nouveau : Déclare recevable le mémoire réponse expédié le 12 mars 2015 au Tribunal des prud'hommes par A______. Déboute les parties de toutes autres conclusions. Sur les frais : Laisse les frais à la charge de l'Etat de Genève. Dit qu'il n'est pas alloué de dépens. Siégeant : Madame Pauline ERARD, présidente; Monsieur Roberto SPINELLI,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