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C/22103/2013 vom 11. Februar 2014</w:t>
      </w:r>
    </w:p>
    <w:p>
      <w:r>
        <w:t>GE Cour de justice, 2014-02-11, FR</w:t>
      </w:r>
    </w:p>
    <w:p>
      <w:r>
        <w:rPr>
          <w:b/>
        </w:rPr>
        <w:t xml:space="preserve">Quelle: </w:t>
      </w:r>
      <w:r>
        <w:t>https://mcp.opencaselaw.ch/entscheid/ge_gerichte_C_22103_2013</w:t>
      </w:r>
    </w:p>
    <w:p>
      <w:r>
        <w:t>FR: GE_GERICHTE C/22103/2013 du 11 février 2014</w:t>
      </w:r>
    </w:p>
    <w:p>
      <w:r>
        <w:t>IT: GE_GERICHTE C/22103/2013 del 11 febbraio 2014</w:t>
      </w:r>
    </w:p>
    <w:p>
      <w:pPr>
        <w:pStyle w:val="Heading2"/>
      </w:pPr>
      <w:r>
        <w:t>Regeste</w:t>
      </w:r>
    </w:p>
    <w:p>
      <w:r>
        <w:t>MAINLEVÉE PROVISOIRE; MAINLEVÉE DÉFINITIVE | LP.82; CO.73;</w:t>
      </w:r>
    </w:p>
    <w:p>
      <w:pPr>
        <w:pStyle w:val="Heading2"/>
      </w:pPr>
      <w:r>
        <w:t>Erwägungen</w:t>
      </w:r>
    </w:p>
    <w:p>
      <w:r>
        <w:rPr>
          <w:b/>
        </w:rPr>
        <w:t>E. 1</w:t>
      </w:r>
    </w:p>
    <w:p>
      <w:r>
        <w:t>S'agissant d'une procédure de mainlevée, seule la voie du recours est ouverte (art. 319 let. b et 309 let. b ch. 3 CPC). Aux termes de l'art. 321 al. 1 et 2 CPC, le recours, écrit et motivé, doit être introduit auprès de l'instance de recours dans les dix jours à compter de la notification de la décision motivée, pour les décisions prises en procédure sommaire. Le présent recours a été formé dans le délai. Emanant d'un justiciable en personne, il sera admis qu'il est suffisamment motivé, et qu'il peut en être déduit que le recourant reprend ses conclusions implicites de première instance sur le fond, à savoir qu'il entend obtenir, une fois le jugement attaqué, le rejet de la requête de mainlevée de l'opposition.</w:t>
      </w:r>
    </w:p>
    <w:p>
      <w:r>
        <w:rPr>
          <w:b/>
        </w:rPr>
        <w:t>E. 2</w:t>
      </w:r>
    </w:p>
    <w:p>
      <w:r>
        <w:t>Dans le cadre d'un recours, l'autorité a un plein pouvoir d'examen en droit, mais un pouvoir limité à l'arbitraire en fait (art. 320 CPC; HOHL, Procédure civile, tome II, 2ème éd., 2010, n. 2307). La procédure de mainlevée étant instruite en procédure sommaire (art. 251 let. a CPC), la maxime des débats s'applique (art. 55 al. 1, art. 255 let. a a contrario CPC) et la preuve des faits allégués doit être apportée par titres (art. 254 CPC).</w:t>
      </w:r>
    </w:p>
    <w:p>
      <w:r>
        <w:rPr>
          <w:b/>
        </w:rPr>
        <w:t>E. 3</w:t>
      </w:r>
    </w:p>
    <w:p>
      <w:r>
        <w:t>Selon l'art. 326 al. 1 CPC, les conclusions, les allégations de faits et les preuves nouvelles sont irrecevables en recours. Les allégués de fait nouveaux et les pièces nouvelles du recourant ne sont donc pas recevables.</w:t>
      </w:r>
    </w:p>
    <w:p>
      <w:r>
        <w:rPr>
          <w:b/>
        </w:rPr>
        <w:t>E. 4</w:t>
      </w:r>
    </w:p>
    <w:p>
      <w:r>
        <w:t>Le recourant reproche au premier juge d'avoir accordé la mainlevée de l'opposition, en dépit des pièces qu'il avait produites et de la déclaration de l'intimé selon laquelle celui-ci avait été "alléché par les intérêts promis".</w:t>
      </w:r>
    </w:p>
    <w:p>
      <w:r>
        <w:rPr>
          <w:b/>
        </w:rPr>
        <w:t>E. 4.1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Commentaire de la loi fédérale sur la poursuite pour dettes et la faillite, Lausanne 2001, n. 95 ad art. 82 LP).</w:t>
      </w:r>
    </w:p>
    <w:p>
      <w:r>
        <w:rPr>
          <w:b/>
        </w:rPr>
        <w:t>E. 4.2</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L'acte doit également comporter la signature du débiteur ou de son représentant. Le contrat de prêt constitue un titre de mainlevée en vue d'obtenir le remboursement de la somme prêtée, et ce pour autant que le débiteur ne conteste pas avoir reçu le montant convenu (ATF 132 III 480 , SJ 2006 I 459; KRAUSKOPF, La mainlevée provisoire : quelques jurisprudences récentes, in JdT 2008 II 43, p. 37). Le taux d'intérêt d'une dette en argent est fixé librement par les parties puisqu'il s'agit d'une question relevant du droit dispositif (art. 73 al. 1 CO; LEU, BASLER Kommentar, 2011, n. 4 ad art. 73 CO). La question d'un taux maximal pour les intérêts conventionnels peut cependant être réglée, soit par le droit public cantonal (art. 73 al. 2 CO), soit par la législation fédérale de droit privé (art. 14 LCC), soit par l'application de principes généraux tels que la contrariété aux mœurs (art. 20 al. 1 CO) ou la lésion (art. 21 CO). Lorsque les parties ont déterminé le taux d'intérêt applicable au prêt, il faut appliquer ce taux (ATF 134 III 224 consid. 7). La Loi sur le crédit à la consommation ne s'applique pas aux contrats de crédit portant sur un montant inférieur à 500 fr. ou supérieur à 80'000 fr. (art. 7 al. 1 let. e LCC). Concernant le taux maximal des intérêts conventionnels, l'abrogation du Concordat intercantonal réprimant les abus en matière d'intérêts conventionnels en 2005, a créé une lacune pour tous les contrats qui ne sont pas soumis à la loi sur le crédit à la consommation (cf. MARCHAND, Intérêts et conversion dans l'action en paiement, in Quelques actions en paiement, Neuchâtel, CEMAJ, 2009 p. 73).</w:t>
      </w:r>
    </w:p>
    <w:p>
      <w:r>
        <w:rPr>
          <w:b/>
        </w:rPr>
        <w:t>E. 4.3</w:t>
      </w:r>
    </w:p>
    <w:p>
      <w:r>
        <w:t>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Poursuite pour dettes et faillite, 2005, n. 785 p. 156, 157 et références citées; KRAUSKOPF, op. cit., p. 45).</w:t>
      </w:r>
    </w:p>
    <w:p>
      <w:r>
        <w:rPr>
          <w:b/>
        </w:rPr>
        <w:t>E. 4.4</w:t>
      </w:r>
    </w:p>
    <w:p>
      <w:r>
        <w:t>En l'occurrence, aux termes clairs du document signé par les parties le 27 octobre 2011, le recourant a reçu, à titre de prêt, le montant de 135'000 euros jusqu'au 26 octobre 2012, moyennant intérêts de 6% l'an. Il ne conteste pas que cette somme lui a été effectivement remise et qu'il ne l'a restituée, ni à l'échéance fixée, ni même après la mise en demeure du 8 juillet 2013. Le texte du contrat liant les parties constitue ainsi une reconnaissance de dette, au sens de l'art. 82 LP. La quotité des intérêts du prêt a été fixée d'entente entre les parties et, vu le montant en cause, la loi sur le crédit à la consommation ne s'applique pas. La mainlevée provisoire peut dès lors également être prononcée à l'égard de ces intérêts, de même que les intérêts moratoires au même taux. Le recourant n'a fait valoir aucun moyen libératoire. Ses explications sont contradictoires puisqu'il a d'une part déclaré contester le principe de la dette, tout en affirmant d'autre part qu'il procédait au remboursement de celle-ci, sans toutefois apporter aucun élément de nature à rendre vraisemblable ce dernier allégué. C'est donc à juste titre que le premier juge a prononcé la mainlevée provisoire de l'opposition formée au commandement de payer. Mal fondé, le recours sera rejeté.</w:t>
      </w:r>
    </w:p>
    <w:p>
      <w:r>
        <w:rPr>
          <w:b/>
        </w:rPr>
        <w:t>E. 5</w:t>
      </w:r>
    </w:p>
    <w:p>
      <w:r>
        <w:t>Le recourant, qui succombe, supportera les frais de son recours (art. 106 al. 1 CPC). Ceux-ci seront arrêtés à 1'100 fr. (art. 61 OELP), correspondant à l'avance déjà opérée. PAR CES MOTIFS, La Chambre civile : A la forme : Déclare recevable le recours formé par A______ contre le jugement JTPI/2187/2014 rendu le 11 février 2014 par le Tribunal de première instance dans la cause C/22103/2013-8 SML. Au fond : Rejette ce recours. Déboute les parties de toutes autres conclusions. Sur les frais : Arrête les frais judiciaires à 1'100 fr., couverts par l'avance déjà effectuée, acquise à l'Etat de Genève. Les met à la charge de A______. Siégeant : Madame Daniela CHIABUDINI, présidente; Madame Sylvie DROIN et Madame Alix FRANCOTTE CONUS, juges; Madame Céline FERREIRA, greffière. La présidente : Daniela CHIABUDINI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