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C/22075/2013 vom 4. November 2016</w:t>
      </w:r>
    </w:p>
    <w:p>
      <w:r>
        <w:t>GE Cour de justice, 2016-11-04, FR</w:t>
      </w:r>
    </w:p>
    <w:p>
      <w:r>
        <w:rPr>
          <w:b/>
        </w:rPr>
        <w:t xml:space="preserve">Quelle: </w:t>
      </w:r>
      <w:r>
        <w:t>https://mcp.opencaselaw.ch/entscheid/ge_gerichte_C_22075_2013</w:t>
      </w:r>
    </w:p>
    <w:p>
      <w:r>
        <w:t>FR: GE_GERICHTE C/22075/2013 du 4 novembre 2016</w:t>
      </w:r>
    </w:p>
    <w:p>
      <w:r>
        <w:t>IT: GE_GERICHTE C/22075/2013 del 4 novembre 2016</w:t>
      </w:r>
    </w:p>
    <w:p>
      <w:pPr>
        <w:pStyle w:val="Heading2"/>
      </w:pPr>
      <w:r>
        <w:t>Regeste</w:t>
      </w:r>
    </w:p>
    <w:p>
      <w:r>
        <w:t>ATTRIBUTION DE L'EFFET SUSPENSIF | CC.325;</w:t>
      </w:r>
    </w:p>
    <w:p>
      <w:pPr>
        <w:pStyle w:val="Heading2"/>
      </w:pPr>
      <w:r>
        <w:t>Volltext</w:t>
      </w:r>
    </w:p>
    <w:p>
      <w:r>
        <w:t>Genf Cour de Justice (Cour civile) Chambre civile 17.01.2017 C/22075/2013 Genève Cour de Justice (Cour civile) Chambre civile 17.01.2017 C/22075/2013 Ginevra Cour de Justice (Cour civile) Chambre civile 17.01.2017 C/22075/2013</w:t>
      </w:r>
    </w:p>
    <w:p>
      <w:r>
        <w:t>ATTRIBUTION DE L'EFFET SUSPENSIF | CC.325;</w:t>
      </w:r>
    </w:p>
    <w:p>
      <w:r>
        <w:t>C/22075/2013 ACJC/62/2017 du 17.01.2017 sur ORTPI/859/2016 ( OOC ) Descripteurs : ATTRIBUTION DE L'EFFET SUSPENSIF Normes : CC.325; Par ces motifs RÉPUBLIQUE ET CANTON DE GENÈVE POUVOIR JUDICIAIRE C/22075/2013 ACJC/62/2017 ARRÊT DE LA COUR DE JUSTICE Chambre civile du MARDI 17 JANVIER 2017 Entre A______ , sise c/o ______, recourante contre une ordonnance rendue par la 20 ème Chambre du Tribunal de première instance de ce canton le 4 novembre 2016, comparant par Me Marc Hassberger, avocat, 3, rue du Mont-Blanc case postale 1363, 1211 Genève 1, en l'étude duquel elle fait élection de domicile, et B______ , sise ______, ______, intimée, comparant par Me Philippe Neyroud et Me Martine Stückelberg, avocats, 7, rue François-Versonnex, 1207 Genève, en l'étude desquels elle fait élection de domicile. Attendu, EN FAIT , que par ordonnance du 4 novembre 2016, le Tribunal de première instance a refusé l'expertise sollicitée par A______ afin de déterminer si la stratégie de placement définie par B______ était conforme à son profil de risque et au mandat confié et, dans l'hypothèse d'une violation des règles du mandat par B______, la quotité du dommage subi par A______ et a imparti aux parties un délai au 21 novembre 2016 pour faire savoir au Tribunal si les plaidoiries orales pouvaient être ordonnées ou si elles souhaitaient des plaidoiries écrites; Que par acte expédié au greffe de la Cour le 18 novembre 2016, A______ a formé recours contre cette ordonnance, concluant, principalement, à son annulation et à ce qu'une expertise soit ordonnée; Qu'elle a conclu, préalablement, à ce que son recours soit assorti de l'effet suspensif, exposant que l'ordonnance attaquée lui causait un préjudice difficilement réparable dans la mesure où elle provoquait un allongement inutile de la procédure et l'obligeait à investir du temps et des moyens financiers importants, que son recours n'était pas dénué de chance de succès et qu'il convenait d'éviter que les parties ne plaident avant que la décision de la Cour ne soit rendue; Qu'invitée à se déterminer à cet égard, B______ a exposé que par ordonnance du 2 décembre 2016, le Tribunal avait suspendu la procédure jusqu'à droit jugé par la Cour, de sorte que la requête d'effet suspensif était sans objet et qu'elle concluait à son rejet; Considérant, EN DROIT , que la Cour est saisie d'une recours (art. 319 ss CPC);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Que le préjudice difficilement réparable peut être de nature factuelle; il concerne tout préjudice, patrimonial ou immatériel, et peut même résulter du seul écoulement du temps pendant le procès;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Qu'en l'espèce, le Tribunal a suspendu la procédure jusqu'à droit jugé par la Cour sur le recours contre l'ordonnance attaquée; Que la recourante ne risque dès lors pas de subir les inconvénients invoqués, sans qu'il soit nécessaire d'examiner s'ils seraient de nature à lui causer un préjudice difficilement réparable, et elle ne risque pas de devoir procéder à des plaidoiries orales ou écrites; Qu'au vu de ces circonstances, la requête d'effet suspensif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suspendre le caractère exécutoire de l'ordonnance ORTPI/859/2016 rendue le 4 novembre 2016 par le Tribunal de première instance dans la cause C/22075/2013-20. Dit qu'il sera statué sur les frais et dépens de la présente décision avec la décision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